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63"/>
        <w:gridCol w:w="2127"/>
        <w:gridCol w:w="4110"/>
        <w:gridCol w:w="5492"/>
      </w:tblGrid>
      <w:tr w:rsidR="008B45A5" w:rsidRPr="008B45A5" w:rsidTr="00FB5B57">
        <w:trPr>
          <w:trHeight w:val="420"/>
          <w:tblHeader/>
        </w:trPr>
        <w:tc>
          <w:tcPr>
            <w:tcW w:w="13992" w:type="dxa"/>
            <w:gridSpan w:val="4"/>
            <w:shd w:val="clear" w:color="auto" w:fill="BFBFBF" w:themeFill="background1" w:themeFillShade="BF"/>
            <w:vAlign w:val="center"/>
          </w:tcPr>
          <w:p w:rsidR="008B45A5" w:rsidRPr="008B45A5" w:rsidRDefault="00FB5B57" w:rsidP="00FB5B57">
            <w:pPr>
              <w:pStyle w:val="Encabezado"/>
              <w:jc w:val="center"/>
              <w:rPr>
                <w:rFonts w:ascii="Book Antiqua" w:hAnsi="Book Antiqua"/>
                <w:b/>
                <w:sz w:val="20"/>
                <w:szCs w:val="20"/>
                <w:lang w:val="es-MX"/>
              </w:rPr>
            </w:pPr>
            <w:bookmarkStart w:id="0" w:name="_GoBack"/>
            <w:bookmarkEnd w:id="0"/>
            <w:r w:rsidRPr="008B45A5">
              <w:rPr>
                <w:rFonts w:ascii="Book Antiqua" w:hAnsi="Book Antiqua"/>
                <w:b/>
                <w:sz w:val="20"/>
                <w:szCs w:val="20"/>
                <w:lang w:val="es-MX"/>
              </w:rPr>
              <w:t xml:space="preserve">Resoluciones </w:t>
            </w:r>
            <w:r>
              <w:rPr>
                <w:rFonts w:ascii="Book Antiqua" w:hAnsi="Book Antiqua"/>
                <w:b/>
                <w:sz w:val="20"/>
                <w:szCs w:val="20"/>
                <w:lang w:val="es-MX"/>
              </w:rPr>
              <w:t xml:space="preserve">con temas trascendentales,emitidas </w:t>
            </w:r>
            <w:r w:rsidRPr="008B45A5">
              <w:rPr>
                <w:rFonts w:ascii="Book Antiqua" w:hAnsi="Book Antiqua"/>
                <w:b/>
                <w:sz w:val="20"/>
                <w:szCs w:val="20"/>
                <w:lang w:val="es-MX"/>
              </w:rPr>
              <w:t xml:space="preserve">del 8.9.2020 </w:t>
            </w:r>
            <w:r>
              <w:rPr>
                <w:rFonts w:ascii="Book Antiqua" w:hAnsi="Book Antiqua"/>
                <w:b/>
                <w:sz w:val="20"/>
                <w:szCs w:val="20"/>
                <w:lang w:val="es-MX"/>
              </w:rPr>
              <w:t>al 29.9.2020</w:t>
            </w:r>
          </w:p>
        </w:tc>
      </w:tr>
      <w:tr w:rsidR="008B45A5" w:rsidRPr="008B45A5" w:rsidTr="00FB5B57">
        <w:trPr>
          <w:trHeight w:val="452"/>
          <w:tblHeader/>
        </w:trPr>
        <w:tc>
          <w:tcPr>
            <w:tcW w:w="2263" w:type="dxa"/>
            <w:shd w:val="clear" w:color="auto" w:fill="D9D9D9" w:themeFill="background1" w:themeFillShade="D9"/>
            <w:vAlign w:val="center"/>
          </w:tcPr>
          <w:p w:rsidR="008B45A5" w:rsidRPr="008B45A5" w:rsidRDefault="008B45A5" w:rsidP="00FB5B57">
            <w:pPr>
              <w:jc w:val="center"/>
              <w:rPr>
                <w:rFonts w:ascii="Book Antiqua" w:hAnsi="Book Antiqua"/>
                <w:b/>
                <w:sz w:val="20"/>
                <w:szCs w:val="20"/>
              </w:rPr>
            </w:pPr>
            <w:r w:rsidRPr="008B45A5">
              <w:rPr>
                <w:rFonts w:ascii="Book Antiqua" w:hAnsi="Book Antiqua"/>
                <w:b/>
                <w:sz w:val="20"/>
                <w:szCs w:val="20"/>
              </w:rPr>
              <w:t>Resolución y fecha</w:t>
            </w:r>
          </w:p>
        </w:tc>
        <w:tc>
          <w:tcPr>
            <w:tcW w:w="2127" w:type="dxa"/>
            <w:shd w:val="clear" w:color="auto" w:fill="D9D9D9" w:themeFill="background1" w:themeFillShade="D9"/>
            <w:vAlign w:val="center"/>
          </w:tcPr>
          <w:p w:rsidR="008B45A5" w:rsidRPr="008B45A5" w:rsidRDefault="008B45A5" w:rsidP="00FB5B57">
            <w:pPr>
              <w:jc w:val="center"/>
              <w:rPr>
                <w:rFonts w:ascii="Book Antiqua" w:hAnsi="Book Antiqua"/>
                <w:b/>
                <w:sz w:val="20"/>
                <w:szCs w:val="20"/>
              </w:rPr>
            </w:pPr>
            <w:r w:rsidRPr="008B45A5">
              <w:rPr>
                <w:rFonts w:ascii="Book Antiqua" w:hAnsi="Book Antiqua"/>
                <w:b/>
                <w:sz w:val="20"/>
                <w:szCs w:val="20"/>
              </w:rPr>
              <w:t>Tipo de acción</w:t>
            </w:r>
          </w:p>
        </w:tc>
        <w:tc>
          <w:tcPr>
            <w:tcW w:w="4110" w:type="dxa"/>
            <w:shd w:val="clear" w:color="auto" w:fill="D9D9D9" w:themeFill="background1" w:themeFillShade="D9"/>
            <w:vAlign w:val="center"/>
          </w:tcPr>
          <w:p w:rsidR="008B45A5" w:rsidRPr="008B45A5" w:rsidRDefault="008B45A5" w:rsidP="00FB5B57">
            <w:pPr>
              <w:jc w:val="center"/>
              <w:rPr>
                <w:rFonts w:ascii="Book Antiqua" w:hAnsi="Book Antiqua"/>
                <w:b/>
                <w:sz w:val="20"/>
                <w:szCs w:val="20"/>
              </w:rPr>
            </w:pPr>
            <w:r w:rsidRPr="008B45A5">
              <w:rPr>
                <w:rFonts w:ascii="Book Antiqua" w:hAnsi="Book Antiqua"/>
                <w:b/>
                <w:sz w:val="20"/>
                <w:szCs w:val="20"/>
              </w:rPr>
              <w:t xml:space="preserve">Partes y </w:t>
            </w:r>
            <w:r w:rsidR="00FB5B57">
              <w:rPr>
                <w:rFonts w:ascii="Book Antiqua" w:hAnsi="Book Antiqua"/>
                <w:b/>
                <w:sz w:val="20"/>
                <w:szCs w:val="20"/>
              </w:rPr>
              <w:t>procedimiento vinculado</w:t>
            </w:r>
          </w:p>
        </w:tc>
        <w:tc>
          <w:tcPr>
            <w:tcW w:w="5492" w:type="dxa"/>
            <w:shd w:val="clear" w:color="auto" w:fill="D9D9D9" w:themeFill="background1" w:themeFillShade="D9"/>
            <w:vAlign w:val="center"/>
          </w:tcPr>
          <w:p w:rsidR="008B45A5" w:rsidRPr="008B45A5" w:rsidRDefault="008B45A5" w:rsidP="00FB5B57">
            <w:pPr>
              <w:jc w:val="center"/>
              <w:rPr>
                <w:rFonts w:ascii="Book Antiqua" w:hAnsi="Book Antiqua"/>
                <w:b/>
                <w:sz w:val="20"/>
                <w:szCs w:val="20"/>
              </w:rPr>
            </w:pPr>
            <w:r w:rsidRPr="008B45A5">
              <w:rPr>
                <w:rFonts w:ascii="Book Antiqua" w:hAnsi="Book Antiqua"/>
                <w:b/>
                <w:sz w:val="20"/>
                <w:szCs w:val="20"/>
              </w:rPr>
              <w:t>Dispositivo</w:t>
            </w:r>
          </w:p>
        </w:tc>
      </w:tr>
      <w:tr w:rsidR="008B45A5" w:rsidRPr="008B45A5" w:rsidTr="008B45A5">
        <w:tc>
          <w:tcPr>
            <w:tcW w:w="2263" w:type="dxa"/>
          </w:tcPr>
          <w:p w:rsidR="008B45A5" w:rsidRPr="008B45A5" w:rsidRDefault="008B45A5" w:rsidP="00FB5B57">
            <w:pPr>
              <w:jc w:val="both"/>
              <w:rPr>
                <w:rFonts w:ascii="Book Antiqua" w:hAnsi="Book Antiqua"/>
                <w:sz w:val="20"/>
                <w:szCs w:val="20"/>
              </w:rPr>
            </w:pPr>
            <w:r w:rsidRPr="008B45A5">
              <w:rPr>
                <w:rFonts w:ascii="Book Antiqua" w:hAnsi="Book Antiqua"/>
                <w:b/>
                <w:sz w:val="20"/>
                <w:szCs w:val="20"/>
              </w:rPr>
              <w:t>Resolución RIC-84-2020 d/f 8.9.2</w:t>
            </w:r>
          </w:p>
        </w:tc>
        <w:tc>
          <w:tcPr>
            <w:tcW w:w="2127" w:type="dxa"/>
          </w:tcPr>
          <w:p w:rsidR="008B45A5" w:rsidRPr="008B45A5" w:rsidRDefault="008B45A5" w:rsidP="00FB5B57">
            <w:pPr>
              <w:jc w:val="both"/>
              <w:rPr>
                <w:rFonts w:ascii="Book Antiqua" w:hAnsi="Book Antiqua"/>
                <w:sz w:val="20"/>
                <w:szCs w:val="20"/>
              </w:rPr>
            </w:pPr>
            <w:r w:rsidRPr="008B45A5">
              <w:rPr>
                <w:rFonts w:ascii="Book Antiqua" w:hAnsi="Book Antiqua"/>
                <w:b/>
                <w:sz w:val="20"/>
                <w:szCs w:val="20"/>
              </w:rPr>
              <w:t>Solicitud de investigación</w:t>
            </w:r>
          </w:p>
        </w:tc>
        <w:tc>
          <w:tcPr>
            <w:tcW w:w="4110" w:type="dxa"/>
          </w:tcPr>
          <w:p w:rsidR="008B45A5" w:rsidRPr="002532D5" w:rsidRDefault="00FB5B57" w:rsidP="002532D5">
            <w:pPr>
              <w:jc w:val="both"/>
              <w:rPr>
                <w:rFonts w:ascii="Book Antiqua" w:hAnsi="Book Antiqua"/>
                <w:sz w:val="20"/>
                <w:szCs w:val="20"/>
              </w:rPr>
            </w:pPr>
            <w:r w:rsidRPr="002532D5">
              <w:rPr>
                <w:rFonts w:ascii="Book Antiqua" w:hAnsi="Book Antiqua"/>
                <w:sz w:val="20"/>
                <w:szCs w:val="20"/>
              </w:rPr>
              <w:t>Fundación Justicia y Transparencia vs OISOE / Varios</w:t>
            </w:r>
            <w:r w:rsidR="008B45A5" w:rsidRPr="002532D5">
              <w:rPr>
                <w:rFonts w:ascii="Book Antiqua" w:hAnsi="Book Antiqua"/>
                <w:sz w:val="20"/>
                <w:szCs w:val="20"/>
              </w:rPr>
              <w:t xml:space="preserve"> procedimiento</w:t>
            </w:r>
            <w:r w:rsidR="002532D5">
              <w:rPr>
                <w:rFonts w:ascii="Book Antiqua" w:hAnsi="Book Antiqua"/>
                <w:sz w:val="20"/>
                <w:szCs w:val="20"/>
              </w:rPr>
              <w:t>s llevados a cabo por la OISOE</w:t>
            </w:r>
            <w:r w:rsidR="002532D5" w:rsidRPr="002532D5">
              <w:rPr>
                <w:rFonts w:ascii="Book Antiqua" w:hAnsi="Book Antiqua"/>
                <w:color w:val="000000" w:themeColor="text1"/>
                <w:sz w:val="20"/>
                <w:szCs w:val="20"/>
                <w:lang w:val="es-ES_tradnl"/>
              </w:rPr>
              <w:t xml:space="preserve">: </w:t>
            </w:r>
            <w:r w:rsidR="002532D5" w:rsidRPr="002532D5">
              <w:rPr>
                <w:rFonts w:ascii="Book Antiqua" w:hAnsi="Book Antiqua"/>
                <w:b/>
                <w:color w:val="000000" w:themeColor="text1"/>
                <w:sz w:val="20"/>
                <w:szCs w:val="20"/>
                <w:lang w:val="es-ES_tradnl"/>
              </w:rPr>
              <w:t>i)</w:t>
            </w:r>
            <w:r w:rsidR="002532D5" w:rsidRPr="002532D5">
              <w:rPr>
                <w:rFonts w:ascii="Book Antiqua" w:hAnsi="Book Antiqua"/>
                <w:color w:val="000000" w:themeColor="text1"/>
                <w:sz w:val="20"/>
                <w:szCs w:val="20"/>
                <w:lang w:val="es-ES_tradnl"/>
              </w:rPr>
              <w:t xml:space="preserve"> Licitación Pública Internacional Núm. </w:t>
            </w:r>
            <w:r w:rsidR="002532D5" w:rsidRPr="002532D5">
              <w:rPr>
                <w:rFonts w:ascii="Book Antiqua" w:hAnsi="Book Antiqua" w:cstheme="minorHAnsi"/>
                <w:color w:val="000000" w:themeColor="text1"/>
                <w:sz w:val="20"/>
                <w:szCs w:val="20"/>
                <w:lang w:eastAsia="es-MX"/>
              </w:rPr>
              <w:t xml:space="preserve">LPI-001-2013, llevada a cabo para la “Remodelación y Reestructuración con soluciones de ampliación integral de espacios hospitalarios y equipamiento de la Ciudad Sanitaria Dr. Luis Aybar, Santo Domingo”; </w:t>
            </w:r>
            <w:r w:rsidR="002532D5" w:rsidRPr="002532D5">
              <w:rPr>
                <w:rFonts w:ascii="Book Antiqua" w:hAnsi="Book Antiqua"/>
                <w:b/>
                <w:color w:val="000000" w:themeColor="text1"/>
                <w:sz w:val="20"/>
                <w:szCs w:val="20"/>
                <w:lang w:val="es-ES_tradnl"/>
              </w:rPr>
              <w:t>ii)</w:t>
            </w:r>
            <w:r w:rsidR="002532D5" w:rsidRPr="002532D5">
              <w:rPr>
                <w:rFonts w:ascii="Book Antiqua" w:hAnsi="Book Antiqua"/>
                <w:color w:val="000000" w:themeColor="text1"/>
                <w:sz w:val="20"/>
                <w:szCs w:val="20"/>
              </w:rPr>
              <w:t xml:space="preserve">Procedimiento de Excepción Núm. </w:t>
            </w:r>
            <w:r w:rsidR="002532D5" w:rsidRPr="002532D5">
              <w:rPr>
                <w:rFonts w:ascii="Book Antiqua" w:hAnsi="Book Antiqua" w:cstheme="minorHAnsi"/>
                <w:color w:val="000000" w:themeColor="text1"/>
                <w:sz w:val="20"/>
                <w:szCs w:val="20"/>
                <w:lang w:eastAsia="es-MX"/>
              </w:rPr>
              <w:t>MPK-EXC-002-2013, llevado a cabo para la “Restructuración de Imágenes y Elaboración de Esculturas de la Iglesia Santa Bárbara, Zona Colonial, Distrito Nacional, Provincia de Santo Domingo”</w:t>
            </w:r>
            <w:r w:rsidR="002532D5">
              <w:rPr>
                <w:rFonts w:ascii="Book Antiqua" w:hAnsi="Book Antiqua" w:cstheme="minorHAnsi"/>
                <w:color w:val="000000" w:themeColor="text1"/>
                <w:sz w:val="20"/>
                <w:szCs w:val="20"/>
                <w:lang w:eastAsia="es-MX"/>
              </w:rPr>
              <w:t>,</w:t>
            </w:r>
            <w:r w:rsidR="002532D5" w:rsidRPr="002532D5">
              <w:rPr>
                <w:rFonts w:ascii="Book Antiqua" w:hAnsi="Book Antiqua" w:cstheme="minorHAnsi"/>
                <w:color w:val="000000" w:themeColor="text1"/>
                <w:sz w:val="20"/>
                <w:szCs w:val="20"/>
                <w:lang w:eastAsia="es-MX"/>
              </w:rPr>
              <w:t xml:space="preserve"> y; </w:t>
            </w:r>
            <w:r w:rsidR="002532D5" w:rsidRPr="002532D5">
              <w:rPr>
                <w:rFonts w:ascii="Book Antiqua" w:hAnsi="Book Antiqua" w:cstheme="minorHAnsi"/>
                <w:b/>
                <w:color w:val="000000" w:themeColor="text1"/>
                <w:sz w:val="20"/>
                <w:szCs w:val="20"/>
                <w:lang w:eastAsia="es-MX"/>
              </w:rPr>
              <w:t>iii)</w:t>
            </w:r>
            <w:r w:rsidR="002532D5" w:rsidRPr="002532D5">
              <w:rPr>
                <w:rFonts w:ascii="Book Antiqua" w:hAnsi="Book Antiqua"/>
                <w:color w:val="000000" w:themeColor="text1"/>
                <w:sz w:val="20"/>
                <w:szCs w:val="20"/>
                <w:lang w:val="es-ES_tradnl"/>
              </w:rPr>
              <w:t xml:space="preserve"> Procedimiento de Excepción Núm. </w:t>
            </w:r>
            <w:r w:rsidR="002532D5" w:rsidRPr="002532D5">
              <w:rPr>
                <w:rFonts w:ascii="Book Antiqua" w:hAnsi="Book Antiqua" w:cstheme="minorHAnsi"/>
                <w:color w:val="000000" w:themeColor="text1"/>
                <w:sz w:val="20"/>
                <w:szCs w:val="20"/>
                <w:lang w:eastAsia="es-MX"/>
              </w:rPr>
              <w:t>MPK-EXC-003-2013, llevado a cabo para la “Restructuración de la Estructura del Monumento Histórico Iglesia Santa Bárbara, Zona Colonial, Distrito Nacional, Provincia de Santo Domingo”</w:t>
            </w:r>
          </w:p>
        </w:tc>
        <w:tc>
          <w:tcPr>
            <w:tcW w:w="5492" w:type="dxa"/>
          </w:tcPr>
          <w:p w:rsidR="002532D5" w:rsidRPr="0032589F" w:rsidRDefault="009D0E84" w:rsidP="002532D5">
            <w:pPr>
              <w:pStyle w:val="Sinespaciado"/>
              <w:jc w:val="both"/>
              <w:rPr>
                <w:rFonts w:ascii="Book Antiqua" w:hAnsi="Book Antiqua"/>
                <w:color w:val="auto"/>
                <w:sz w:val="20"/>
                <w:szCs w:val="20"/>
                <w:lang w:eastAsia="en-US"/>
              </w:rPr>
            </w:pPr>
            <w:r w:rsidRPr="0032589F">
              <w:rPr>
                <w:rFonts w:ascii="Book Antiqua" w:hAnsi="Book Antiqua"/>
                <w:b/>
                <w:color w:val="auto"/>
                <w:sz w:val="20"/>
                <w:szCs w:val="20"/>
                <w:lang w:eastAsia="en-US"/>
              </w:rPr>
              <w:t>DECLARA</w:t>
            </w:r>
            <w:r w:rsidR="002532D5" w:rsidRPr="0032589F">
              <w:rPr>
                <w:rFonts w:ascii="Book Antiqua" w:hAnsi="Book Antiqua"/>
                <w:color w:val="auto"/>
                <w:sz w:val="20"/>
                <w:szCs w:val="20"/>
                <w:lang w:eastAsia="en-US"/>
              </w:rPr>
              <w:t>irregularidades en los tres procedimientos, por incumplimiento c</w:t>
            </w:r>
            <w:r w:rsidR="002532D5" w:rsidRPr="0032589F">
              <w:rPr>
                <w:rFonts w:ascii="Book Antiqua" w:hAnsi="Book Antiqua"/>
                <w:color w:val="000000" w:themeColor="text1"/>
                <w:sz w:val="20"/>
                <w:szCs w:val="20"/>
              </w:rPr>
              <w:t xml:space="preserve">on </w:t>
            </w:r>
            <w:r w:rsidR="002532D5" w:rsidRPr="0032589F">
              <w:rPr>
                <w:rFonts w:ascii="Book Antiqua" w:hAnsi="Book Antiqua"/>
                <w:bCs/>
                <w:color w:val="000000" w:themeColor="text1"/>
                <w:sz w:val="20"/>
                <w:szCs w:val="20"/>
              </w:rPr>
              <w:t>las siguientes disposiciones</w:t>
            </w:r>
            <w:r w:rsidR="000B38B1">
              <w:rPr>
                <w:rFonts w:ascii="Book Antiqua" w:hAnsi="Book Antiqua"/>
                <w:bCs/>
                <w:color w:val="000000" w:themeColor="text1"/>
                <w:sz w:val="20"/>
                <w:szCs w:val="20"/>
              </w:rPr>
              <w:t>, a la fecha de interposición de la investigación – 5.8.2015 -</w:t>
            </w:r>
            <w:r w:rsidR="002532D5" w:rsidRPr="0032589F">
              <w:rPr>
                <w:rFonts w:ascii="Book Antiqua" w:hAnsi="Book Antiqua"/>
                <w:bCs/>
                <w:color w:val="000000" w:themeColor="text1"/>
                <w:sz w:val="20"/>
                <w:szCs w:val="20"/>
              </w:rPr>
              <w:t>:</w:t>
            </w:r>
          </w:p>
          <w:p w:rsidR="002532D5" w:rsidRPr="0032589F" w:rsidRDefault="002532D5" w:rsidP="002532D5">
            <w:pPr>
              <w:pStyle w:val="Normal5"/>
              <w:autoSpaceDE w:val="0"/>
              <w:autoSpaceDN w:val="0"/>
              <w:adjustRightInd w:val="0"/>
              <w:ind w:right="14"/>
              <w:jc w:val="both"/>
              <w:rPr>
                <w:rFonts w:ascii="Book Antiqua" w:hAnsi="Book Antiqua"/>
                <w:bCs/>
                <w:color w:val="000000" w:themeColor="text1"/>
                <w:sz w:val="20"/>
                <w:szCs w:val="20"/>
              </w:rPr>
            </w:pPr>
          </w:p>
          <w:p w:rsidR="0032589F" w:rsidRPr="0032589F" w:rsidRDefault="0032589F" w:rsidP="002532D5">
            <w:pPr>
              <w:pStyle w:val="Normal5"/>
              <w:autoSpaceDE w:val="0"/>
              <w:autoSpaceDN w:val="0"/>
              <w:adjustRightInd w:val="0"/>
              <w:ind w:right="14"/>
              <w:jc w:val="both"/>
              <w:rPr>
                <w:rFonts w:ascii="Book Antiqua" w:hAnsi="Book Antiqua"/>
                <w:bCs/>
                <w:color w:val="000000" w:themeColor="text1"/>
                <w:sz w:val="20"/>
                <w:szCs w:val="20"/>
              </w:rPr>
            </w:pPr>
            <w:r w:rsidRPr="0032589F">
              <w:rPr>
                <w:rFonts w:ascii="Book Antiqua" w:hAnsi="Book Antiqua"/>
                <w:color w:val="000000" w:themeColor="text1"/>
                <w:sz w:val="20"/>
                <w:szCs w:val="20"/>
                <w:lang w:val="es-ES_tradnl"/>
              </w:rPr>
              <w:t xml:space="preserve">Núm. </w:t>
            </w:r>
            <w:r w:rsidRPr="0032589F">
              <w:rPr>
                <w:rFonts w:ascii="Book Antiqua" w:hAnsi="Book Antiqua" w:cstheme="minorHAnsi"/>
                <w:color w:val="000000" w:themeColor="text1"/>
                <w:sz w:val="20"/>
                <w:szCs w:val="20"/>
                <w:lang w:eastAsia="es-MX"/>
              </w:rPr>
              <w:t>LPI-001-2013</w:t>
            </w:r>
          </w:p>
          <w:p w:rsidR="002532D5" w:rsidRPr="0032589F" w:rsidRDefault="002532D5" w:rsidP="002532D5">
            <w:pPr>
              <w:pStyle w:val="Sinespaciado"/>
              <w:jc w:val="both"/>
              <w:rPr>
                <w:rFonts w:ascii="Book Antiqua" w:hAnsi="Book Antiqua"/>
                <w:color w:val="000000" w:themeColor="text1"/>
                <w:sz w:val="20"/>
                <w:szCs w:val="20"/>
              </w:rPr>
            </w:pPr>
            <w:r w:rsidRPr="0032589F">
              <w:rPr>
                <w:rFonts w:ascii="Book Antiqua" w:hAnsi="Book Antiqua"/>
                <w:color w:val="000000" w:themeColor="text1"/>
                <w:sz w:val="20"/>
                <w:szCs w:val="20"/>
              </w:rPr>
              <w:t>-El artículo 3 numeral 3 “</w:t>
            </w:r>
            <w:r w:rsidRPr="0032589F">
              <w:rPr>
                <w:rFonts w:ascii="Book Antiqua" w:hAnsi="Book Antiqua"/>
                <w:i/>
                <w:color w:val="000000" w:themeColor="text1"/>
                <w:sz w:val="20"/>
                <w:szCs w:val="20"/>
              </w:rPr>
              <w:t>Principio de transparencia y publicidad”</w:t>
            </w:r>
            <w:r w:rsidRPr="0032589F">
              <w:rPr>
                <w:rFonts w:ascii="Book Antiqua" w:hAnsi="Book Antiqua"/>
                <w:color w:val="000000" w:themeColor="text1"/>
                <w:sz w:val="20"/>
                <w:szCs w:val="20"/>
              </w:rPr>
              <w:t xml:space="preserve"> y artículo 13 </w:t>
            </w:r>
            <w:r w:rsidRPr="0032589F">
              <w:rPr>
                <w:rFonts w:ascii="Book Antiqua" w:hAnsi="Book Antiqua"/>
                <w:color w:val="000000" w:themeColor="text1"/>
                <w:sz w:val="20"/>
                <w:szCs w:val="20"/>
                <w:lang w:val="es-ES_tradnl"/>
              </w:rPr>
              <w:t xml:space="preserve">de la Ley Núm. 340-06 y sus modificaciones, </w:t>
            </w:r>
            <w:r w:rsidRPr="0032589F">
              <w:rPr>
                <w:rFonts w:ascii="Book Antiqua" w:hAnsi="Book Antiqua"/>
                <w:color w:val="000000" w:themeColor="text1"/>
                <w:sz w:val="20"/>
                <w:szCs w:val="20"/>
              </w:rPr>
              <w:t xml:space="preserve">y párrafo </w:t>
            </w:r>
            <w:r w:rsidRPr="0032589F">
              <w:rPr>
                <w:rFonts w:ascii="Book Antiqua" w:hAnsi="Book Antiqua"/>
                <w:color w:val="000000" w:themeColor="text1"/>
                <w:sz w:val="20"/>
                <w:szCs w:val="20"/>
                <w:lang w:val="es-ES_tradnl"/>
              </w:rPr>
              <w:t xml:space="preserve">del </w:t>
            </w:r>
            <w:r w:rsidRPr="0032589F">
              <w:rPr>
                <w:rFonts w:ascii="Book Antiqua" w:hAnsi="Book Antiqua"/>
                <w:color w:val="000000" w:themeColor="text1"/>
                <w:sz w:val="20"/>
                <w:szCs w:val="20"/>
              </w:rPr>
              <w:t>artículo</w:t>
            </w:r>
            <w:r w:rsidRPr="0032589F">
              <w:rPr>
                <w:rFonts w:ascii="Book Antiqua" w:hAnsi="Book Antiqua"/>
                <w:color w:val="000000" w:themeColor="text1"/>
                <w:sz w:val="20"/>
                <w:szCs w:val="20"/>
                <w:lang w:val="es-ES_tradnl"/>
              </w:rPr>
              <w:t xml:space="preserve"> 134 </w:t>
            </w:r>
            <w:r w:rsidRPr="0032589F">
              <w:rPr>
                <w:rFonts w:ascii="Book Antiqua" w:hAnsi="Book Antiqua"/>
                <w:color w:val="000000" w:themeColor="text1"/>
                <w:sz w:val="20"/>
                <w:szCs w:val="20"/>
              </w:rPr>
              <w:t>del Reglamento de Aplicación Núm. 543-12,</w:t>
            </w:r>
            <w:r w:rsidRPr="0032589F">
              <w:rPr>
                <w:rFonts w:ascii="Book Antiqua" w:hAnsi="Book Antiqua"/>
                <w:color w:val="000000" w:themeColor="text1"/>
                <w:sz w:val="20"/>
                <w:szCs w:val="20"/>
                <w:lang w:val="es-ES_tradnl"/>
              </w:rPr>
              <w:t xml:space="preserve"> sobre su obligación de poner a disposición del interesado y del Órgano Rector copia fiel del expediente para el conocimiento de la presente investigación de manera inmediata y al presentarlo incompleto, lo que constituye una obstrucción de la investigación;</w:t>
            </w:r>
          </w:p>
          <w:p w:rsidR="002532D5" w:rsidRPr="0032589F" w:rsidRDefault="002532D5" w:rsidP="002532D5">
            <w:pPr>
              <w:pStyle w:val="Sinespaciado"/>
              <w:jc w:val="both"/>
              <w:rPr>
                <w:rFonts w:ascii="Book Antiqua" w:hAnsi="Book Antiqua"/>
                <w:color w:val="000000" w:themeColor="text1"/>
                <w:sz w:val="20"/>
                <w:szCs w:val="20"/>
              </w:rPr>
            </w:pPr>
            <w:r w:rsidRPr="0032589F">
              <w:rPr>
                <w:rFonts w:ascii="Book Antiqua" w:hAnsi="Book Antiqua"/>
                <w:color w:val="000000" w:themeColor="text1"/>
                <w:sz w:val="20"/>
                <w:szCs w:val="20"/>
              </w:rPr>
              <w:t>-E</w:t>
            </w:r>
            <w:r w:rsidRPr="0032589F">
              <w:rPr>
                <w:rFonts w:ascii="Book Antiqua" w:hAnsi="Book Antiqua" w:cstheme="minorHAnsi"/>
                <w:color w:val="000000" w:themeColor="text1"/>
                <w:sz w:val="20"/>
                <w:szCs w:val="20"/>
                <w:lang w:eastAsia="es-MX"/>
              </w:rPr>
              <w:t xml:space="preserve">l </w:t>
            </w:r>
            <w:r w:rsidRPr="0032589F">
              <w:rPr>
                <w:rFonts w:ascii="Book Antiqua" w:hAnsi="Book Antiqua"/>
                <w:color w:val="000000" w:themeColor="text1"/>
                <w:sz w:val="20"/>
                <w:szCs w:val="20"/>
              </w:rPr>
              <w:t xml:space="preserve">numeral 1 del artículo 16 de la </w:t>
            </w:r>
            <w:r w:rsidRPr="0032589F">
              <w:rPr>
                <w:rFonts w:ascii="Book Antiqua" w:hAnsi="Book Antiqua"/>
                <w:color w:val="000000" w:themeColor="text1"/>
                <w:sz w:val="20"/>
                <w:szCs w:val="20"/>
                <w:lang w:val="es-ES_tradnl"/>
              </w:rPr>
              <w:t>Ley Núm. 340-06 y su</w:t>
            </w:r>
            <w:r w:rsidR="0032589F" w:rsidRPr="0032589F">
              <w:rPr>
                <w:rFonts w:ascii="Book Antiqua" w:hAnsi="Book Antiqua"/>
                <w:color w:val="000000" w:themeColor="text1"/>
                <w:sz w:val="20"/>
                <w:szCs w:val="20"/>
                <w:lang w:val="es-ES_tradnl"/>
              </w:rPr>
              <w:t>s modificacio</w:t>
            </w:r>
            <w:r w:rsidRPr="0032589F">
              <w:rPr>
                <w:rFonts w:ascii="Book Antiqua" w:hAnsi="Book Antiqua"/>
                <w:color w:val="000000" w:themeColor="text1"/>
                <w:sz w:val="20"/>
                <w:szCs w:val="20"/>
                <w:lang w:val="es-ES_tradnl"/>
              </w:rPr>
              <w:t>n</w:t>
            </w:r>
            <w:r w:rsidR="0032589F" w:rsidRPr="0032589F">
              <w:rPr>
                <w:rFonts w:ascii="Book Antiqua" w:hAnsi="Book Antiqua"/>
                <w:color w:val="000000" w:themeColor="text1"/>
                <w:sz w:val="20"/>
                <w:szCs w:val="20"/>
                <w:lang w:val="es-ES_tradnl"/>
              </w:rPr>
              <w:t>es</w:t>
            </w:r>
            <w:r w:rsidRPr="0032589F">
              <w:rPr>
                <w:rFonts w:ascii="Book Antiqua" w:hAnsi="Book Antiqua"/>
                <w:color w:val="000000" w:themeColor="text1"/>
                <w:sz w:val="20"/>
                <w:szCs w:val="20"/>
              </w:rPr>
              <w:t xml:space="preserve">, puesto que la OISOE </w:t>
            </w:r>
            <w:r w:rsidRPr="0032589F">
              <w:rPr>
                <w:rFonts w:ascii="Book Antiqua" w:hAnsi="Book Antiqua"/>
                <w:color w:val="000000" w:themeColor="text1"/>
                <w:sz w:val="20"/>
                <w:szCs w:val="20"/>
                <w:lang w:val="es-ES_tradnl"/>
              </w:rPr>
              <w:t>no cumplió con su obligación de justificar el uso del procedimiento internacional;</w:t>
            </w:r>
          </w:p>
          <w:p w:rsidR="002532D5" w:rsidRPr="0032589F" w:rsidRDefault="002532D5" w:rsidP="002532D5">
            <w:pPr>
              <w:pStyle w:val="Sinespaciado"/>
              <w:jc w:val="both"/>
              <w:rPr>
                <w:rFonts w:ascii="Book Antiqua" w:hAnsi="Book Antiqua"/>
                <w:color w:val="000000" w:themeColor="text1"/>
                <w:sz w:val="20"/>
                <w:szCs w:val="20"/>
              </w:rPr>
            </w:pPr>
            <w:r w:rsidRPr="0032589F">
              <w:rPr>
                <w:rFonts w:ascii="Book Antiqua" w:hAnsi="Book Antiqua"/>
                <w:color w:val="000000" w:themeColor="text1"/>
                <w:sz w:val="20"/>
                <w:szCs w:val="20"/>
              </w:rPr>
              <w:t xml:space="preserve">-El artículo 18 de la </w:t>
            </w:r>
            <w:r w:rsidRPr="0032589F">
              <w:rPr>
                <w:rFonts w:ascii="Book Antiqua" w:hAnsi="Book Antiqua"/>
                <w:color w:val="000000" w:themeColor="text1"/>
                <w:sz w:val="20"/>
                <w:szCs w:val="20"/>
                <w:lang w:val="es-ES_tradnl"/>
              </w:rPr>
              <w:t>Ley Núm. 340-06 y sus modificaciones</w:t>
            </w:r>
            <w:r w:rsidRPr="0032589F">
              <w:rPr>
                <w:rFonts w:ascii="Book Antiqua" w:hAnsi="Book Antiqua"/>
                <w:color w:val="000000" w:themeColor="text1"/>
                <w:sz w:val="20"/>
                <w:szCs w:val="20"/>
              </w:rPr>
              <w:t xml:space="preserve"> y el artículo 62 del Reglamento de Aplicación Núm. 543-12, por no comprobarse la publicación del procedimiento de que se trata en dos (2) periódicos de circulación nacional durante dos (2) días consecutivos.</w:t>
            </w:r>
          </w:p>
          <w:p w:rsidR="0032589F" w:rsidRPr="0032589F" w:rsidRDefault="0032589F" w:rsidP="002532D5">
            <w:pPr>
              <w:pStyle w:val="Normal5"/>
              <w:autoSpaceDE w:val="0"/>
              <w:autoSpaceDN w:val="0"/>
              <w:adjustRightInd w:val="0"/>
              <w:ind w:right="14"/>
              <w:jc w:val="both"/>
              <w:rPr>
                <w:rFonts w:ascii="Book Antiqua" w:hAnsi="Book Antiqua"/>
                <w:color w:val="000000" w:themeColor="text1"/>
                <w:sz w:val="20"/>
                <w:szCs w:val="20"/>
              </w:rPr>
            </w:pPr>
          </w:p>
          <w:p w:rsidR="0032589F" w:rsidRPr="0032589F" w:rsidRDefault="0032589F" w:rsidP="0032589F">
            <w:pPr>
              <w:pStyle w:val="Normal5"/>
              <w:autoSpaceDE w:val="0"/>
              <w:autoSpaceDN w:val="0"/>
              <w:adjustRightInd w:val="0"/>
              <w:ind w:right="14"/>
              <w:jc w:val="both"/>
              <w:rPr>
                <w:rFonts w:ascii="Book Antiqua" w:eastAsia="Quattrocento" w:hAnsi="Book Antiqua" w:cs="Quattrocento"/>
                <w:color w:val="000000" w:themeColor="text1"/>
                <w:sz w:val="20"/>
                <w:szCs w:val="20"/>
              </w:rPr>
            </w:pPr>
            <w:r w:rsidRPr="0032589F">
              <w:rPr>
                <w:rFonts w:ascii="Book Antiqua" w:hAnsi="Book Antiqua"/>
                <w:color w:val="000000" w:themeColor="text1"/>
                <w:sz w:val="20"/>
                <w:szCs w:val="20"/>
              </w:rPr>
              <w:t>Núm</w:t>
            </w:r>
            <w:r w:rsidR="002532D5" w:rsidRPr="0032589F">
              <w:rPr>
                <w:rFonts w:ascii="Book Antiqua" w:hAnsi="Book Antiqua"/>
                <w:color w:val="000000" w:themeColor="text1"/>
                <w:sz w:val="20"/>
                <w:szCs w:val="20"/>
              </w:rPr>
              <w:t xml:space="preserve">. </w:t>
            </w:r>
            <w:r w:rsidR="002532D5" w:rsidRPr="0032589F">
              <w:rPr>
                <w:rFonts w:ascii="Book Antiqua" w:hAnsi="Book Antiqua" w:cstheme="minorHAnsi"/>
                <w:color w:val="000000" w:themeColor="text1"/>
                <w:sz w:val="20"/>
                <w:szCs w:val="20"/>
                <w:lang w:eastAsia="es-MX"/>
              </w:rPr>
              <w:t>MPK-EXC-002-2</w:t>
            </w:r>
            <w:r w:rsidRPr="0032589F">
              <w:rPr>
                <w:rFonts w:ascii="Book Antiqua" w:hAnsi="Book Antiqua" w:cstheme="minorHAnsi"/>
                <w:color w:val="000000" w:themeColor="text1"/>
                <w:sz w:val="20"/>
                <w:szCs w:val="20"/>
                <w:lang w:eastAsia="es-MX"/>
              </w:rPr>
              <w:t>013</w:t>
            </w:r>
          </w:p>
          <w:p w:rsidR="002532D5" w:rsidRPr="0032589F" w:rsidRDefault="0032589F" w:rsidP="0032589F">
            <w:pPr>
              <w:pStyle w:val="Normal5"/>
              <w:autoSpaceDE w:val="0"/>
              <w:autoSpaceDN w:val="0"/>
              <w:adjustRightInd w:val="0"/>
              <w:ind w:right="14"/>
              <w:jc w:val="both"/>
              <w:rPr>
                <w:rFonts w:ascii="Book Antiqua" w:hAnsi="Book Antiqua"/>
                <w:color w:val="000000" w:themeColor="text1"/>
                <w:sz w:val="20"/>
                <w:szCs w:val="20"/>
              </w:rPr>
            </w:pPr>
            <w:r w:rsidRPr="0032589F">
              <w:rPr>
                <w:rFonts w:ascii="Book Antiqua" w:eastAsia="Quattrocento" w:hAnsi="Book Antiqua" w:cs="Quattrocento"/>
                <w:color w:val="000000" w:themeColor="text1"/>
                <w:sz w:val="20"/>
                <w:szCs w:val="20"/>
              </w:rPr>
              <w:t>-</w:t>
            </w:r>
            <w:r w:rsidR="002532D5" w:rsidRPr="0032589F">
              <w:rPr>
                <w:rFonts w:ascii="Book Antiqua" w:hAnsi="Book Antiqua"/>
                <w:color w:val="000000" w:themeColor="text1"/>
                <w:sz w:val="20"/>
                <w:szCs w:val="20"/>
              </w:rPr>
              <w:t>El artículo 3 numeral 3 “</w:t>
            </w:r>
            <w:r w:rsidR="002532D5" w:rsidRPr="0032589F">
              <w:rPr>
                <w:rFonts w:ascii="Book Antiqua" w:hAnsi="Book Antiqua"/>
                <w:i/>
                <w:color w:val="000000" w:themeColor="text1"/>
                <w:sz w:val="20"/>
                <w:szCs w:val="20"/>
              </w:rPr>
              <w:t>Principio de transparencia y publicidad”</w:t>
            </w:r>
            <w:r w:rsidR="002532D5" w:rsidRPr="0032589F">
              <w:rPr>
                <w:rFonts w:ascii="Book Antiqua" w:hAnsi="Book Antiqua"/>
                <w:color w:val="000000" w:themeColor="text1"/>
                <w:sz w:val="20"/>
                <w:szCs w:val="20"/>
              </w:rPr>
              <w:t xml:space="preserve"> y artículo 13 </w:t>
            </w:r>
            <w:r w:rsidR="002532D5" w:rsidRPr="0032589F">
              <w:rPr>
                <w:rFonts w:ascii="Book Antiqua" w:hAnsi="Book Antiqua"/>
                <w:color w:val="000000" w:themeColor="text1"/>
                <w:sz w:val="20"/>
                <w:szCs w:val="20"/>
                <w:lang w:val="es-ES_tradnl"/>
              </w:rPr>
              <w:t xml:space="preserve">de la </w:t>
            </w:r>
            <w:r w:rsidRPr="0032589F">
              <w:rPr>
                <w:rFonts w:ascii="Book Antiqua" w:hAnsi="Book Antiqua"/>
                <w:color w:val="000000" w:themeColor="text1"/>
                <w:sz w:val="20"/>
                <w:szCs w:val="20"/>
                <w:lang w:val="es-ES_tradnl"/>
              </w:rPr>
              <w:t>Ley Núm. 340-06 y sus modificaciones</w:t>
            </w:r>
            <w:r w:rsidR="002532D5" w:rsidRPr="0032589F">
              <w:rPr>
                <w:rFonts w:ascii="Book Antiqua" w:hAnsi="Book Antiqua"/>
                <w:color w:val="000000" w:themeColor="text1"/>
                <w:sz w:val="20"/>
                <w:szCs w:val="20"/>
                <w:lang w:val="es-ES_tradnl"/>
              </w:rPr>
              <w:t xml:space="preserve">, </w:t>
            </w:r>
            <w:r w:rsidR="002532D5" w:rsidRPr="0032589F">
              <w:rPr>
                <w:rFonts w:ascii="Book Antiqua" w:hAnsi="Book Antiqua"/>
                <w:color w:val="000000" w:themeColor="text1"/>
                <w:sz w:val="20"/>
                <w:szCs w:val="20"/>
              </w:rPr>
              <w:t xml:space="preserve">y párrafo </w:t>
            </w:r>
            <w:r w:rsidR="002532D5" w:rsidRPr="0032589F">
              <w:rPr>
                <w:rFonts w:ascii="Book Antiqua" w:hAnsi="Book Antiqua"/>
                <w:color w:val="000000" w:themeColor="text1"/>
                <w:sz w:val="20"/>
                <w:szCs w:val="20"/>
                <w:lang w:val="es-ES_tradnl"/>
              </w:rPr>
              <w:t xml:space="preserve">del </w:t>
            </w:r>
            <w:r w:rsidR="002532D5" w:rsidRPr="0032589F">
              <w:rPr>
                <w:rFonts w:ascii="Book Antiqua" w:hAnsi="Book Antiqua"/>
                <w:color w:val="000000" w:themeColor="text1"/>
                <w:sz w:val="20"/>
                <w:szCs w:val="20"/>
              </w:rPr>
              <w:t>artículo</w:t>
            </w:r>
            <w:r w:rsidR="002532D5" w:rsidRPr="0032589F">
              <w:rPr>
                <w:rFonts w:ascii="Book Antiqua" w:hAnsi="Book Antiqua"/>
                <w:color w:val="000000" w:themeColor="text1"/>
                <w:sz w:val="20"/>
                <w:szCs w:val="20"/>
                <w:lang w:val="es-ES_tradnl"/>
              </w:rPr>
              <w:t xml:space="preserve"> 134 </w:t>
            </w:r>
            <w:r w:rsidR="002532D5" w:rsidRPr="0032589F">
              <w:rPr>
                <w:rFonts w:ascii="Book Antiqua" w:hAnsi="Book Antiqua"/>
                <w:color w:val="000000" w:themeColor="text1"/>
                <w:sz w:val="20"/>
                <w:szCs w:val="20"/>
              </w:rPr>
              <w:t xml:space="preserve">del </w:t>
            </w:r>
            <w:r w:rsidRPr="0032589F">
              <w:rPr>
                <w:rFonts w:ascii="Book Antiqua" w:hAnsi="Book Antiqua"/>
                <w:color w:val="000000" w:themeColor="text1"/>
                <w:sz w:val="20"/>
                <w:szCs w:val="20"/>
              </w:rPr>
              <w:t>Reglamento de Aplicación Núm. 543-12</w:t>
            </w:r>
            <w:r w:rsidR="002532D5" w:rsidRPr="0032589F">
              <w:rPr>
                <w:rFonts w:ascii="Book Antiqua" w:hAnsi="Book Antiqua"/>
                <w:color w:val="000000" w:themeColor="text1"/>
                <w:sz w:val="20"/>
                <w:szCs w:val="20"/>
              </w:rPr>
              <w:t>,</w:t>
            </w:r>
            <w:r w:rsidR="002532D5" w:rsidRPr="0032589F">
              <w:rPr>
                <w:rFonts w:ascii="Book Antiqua" w:hAnsi="Book Antiqua"/>
                <w:color w:val="000000" w:themeColor="text1"/>
                <w:sz w:val="20"/>
                <w:szCs w:val="20"/>
                <w:lang w:val="es-ES_tradnl"/>
              </w:rPr>
              <w:t xml:space="preserve"> sobre su obligación de poner a disposición del interesado y del Órgano Rector copia fiel </w:t>
            </w:r>
            <w:r w:rsidR="002532D5" w:rsidRPr="0032589F">
              <w:rPr>
                <w:rFonts w:ascii="Book Antiqua" w:hAnsi="Book Antiqua"/>
                <w:color w:val="000000" w:themeColor="text1"/>
                <w:sz w:val="20"/>
                <w:szCs w:val="20"/>
                <w:lang w:val="es-ES_tradnl"/>
              </w:rPr>
              <w:lastRenderedPageBreak/>
              <w:t>del expediente para el conocimiento de la presente investigación de manera inmediata y al presentarlo incompleto, lo que constituye una obstrucción de la investigación;</w:t>
            </w:r>
          </w:p>
          <w:p w:rsidR="002532D5" w:rsidRPr="0032589F" w:rsidRDefault="0032589F" w:rsidP="0032589F">
            <w:pPr>
              <w:pStyle w:val="Sinespaciado"/>
              <w:jc w:val="both"/>
              <w:rPr>
                <w:rFonts w:ascii="Book Antiqua" w:hAnsi="Book Antiqua"/>
                <w:color w:val="000000" w:themeColor="text1"/>
                <w:sz w:val="20"/>
                <w:szCs w:val="20"/>
              </w:rPr>
            </w:pPr>
            <w:r w:rsidRPr="0032589F">
              <w:rPr>
                <w:rFonts w:ascii="Book Antiqua" w:hAnsi="Book Antiqua"/>
                <w:color w:val="000000" w:themeColor="text1"/>
                <w:sz w:val="20"/>
                <w:szCs w:val="20"/>
              </w:rPr>
              <w:t>-</w:t>
            </w:r>
            <w:r w:rsidR="002532D5" w:rsidRPr="0032589F">
              <w:rPr>
                <w:rFonts w:ascii="Book Antiqua" w:hAnsi="Book Antiqua"/>
                <w:color w:val="000000" w:themeColor="text1"/>
                <w:sz w:val="20"/>
                <w:szCs w:val="20"/>
              </w:rPr>
              <w:t>E</w:t>
            </w:r>
            <w:r w:rsidR="002532D5" w:rsidRPr="0032589F">
              <w:rPr>
                <w:rFonts w:ascii="Book Antiqua" w:hAnsi="Book Antiqua" w:cstheme="minorHAnsi"/>
                <w:color w:val="000000" w:themeColor="text1"/>
                <w:sz w:val="20"/>
                <w:szCs w:val="20"/>
                <w:lang w:eastAsia="es-MX"/>
              </w:rPr>
              <w:t xml:space="preserve">l artículo 4 numeral 3 del </w:t>
            </w:r>
            <w:r w:rsidRPr="0032589F">
              <w:rPr>
                <w:rFonts w:ascii="Book Antiqua" w:hAnsi="Book Antiqua"/>
                <w:color w:val="000000" w:themeColor="text1"/>
                <w:sz w:val="20"/>
                <w:szCs w:val="20"/>
              </w:rPr>
              <w:t>Reglamento de Aplicación Núm. 543-12</w:t>
            </w:r>
            <w:r w:rsidR="002532D5" w:rsidRPr="0032589F">
              <w:rPr>
                <w:rFonts w:ascii="Book Antiqua" w:hAnsi="Book Antiqua" w:cstheme="minorHAnsi"/>
                <w:color w:val="000000" w:themeColor="text1"/>
                <w:sz w:val="20"/>
                <w:szCs w:val="20"/>
                <w:lang w:eastAsia="es-MX"/>
              </w:rPr>
              <w:t xml:space="preserve">, </w:t>
            </w:r>
            <w:r w:rsidR="002532D5" w:rsidRPr="0032589F">
              <w:rPr>
                <w:rFonts w:ascii="Book Antiqua" w:hAnsi="Book Antiqua"/>
                <w:color w:val="000000" w:themeColor="text1"/>
                <w:sz w:val="20"/>
                <w:szCs w:val="20"/>
              </w:rPr>
              <w:t>por ser convocados sin contar con un informe pericial que justificara la excepción y la debida certificación de existencia de fondos;</w:t>
            </w:r>
          </w:p>
          <w:p w:rsidR="002532D5" w:rsidRPr="0032589F" w:rsidRDefault="0032589F" w:rsidP="0032589F">
            <w:pPr>
              <w:pStyle w:val="Sinespaciado"/>
              <w:jc w:val="both"/>
              <w:rPr>
                <w:rFonts w:ascii="Book Antiqua" w:hAnsi="Book Antiqua"/>
                <w:color w:val="000000" w:themeColor="text1"/>
                <w:sz w:val="20"/>
                <w:szCs w:val="20"/>
              </w:rPr>
            </w:pPr>
            <w:r w:rsidRPr="0032589F">
              <w:rPr>
                <w:rFonts w:ascii="Book Antiqua" w:hAnsi="Book Antiqua"/>
                <w:color w:val="000000" w:themeColor="text1"/>
                <w:sz w:val="20"/>
                <w:szCs w:val="20"/>
              </w:rPr>
              <w:t>-</w:t>
            </w:r>
            <w:r w:rsidR="002532D5" w:rsidRPr="0032589F">
              <w:rPr>
                <w:rFonts w:ascii="Book Antiqua" w:hAnsi="Book Antiqua"/>
                <w:color w:val="000000" w:themeColor="text1"/>
                <w:sz w:val="20"/>
                <w:szCs w:val="20"/>
              </w:rPr>
              <w:t>E</w:t>
            </w:r>
            <w:r>
              <w:rPr>
                <w:rFonts w:ascii="Book Antiqua" w:hAnsi="Book Antiqua" w:cstheme="minorHAnsi"/>
                <w:color w:val="000000" w:themeColor="text1"/>
                <w:sz w:val="20"/>
                <w:szCs w:val="20"/>
                <w:lang w:eastAsia="es-MX"/>
              </w:rPr>
              <w:t xml:space="preserve">l artículo 3 numeral </w:t>
            </w:r>
            <w:r w:rsidRPr="002532D5">
              <w:rPr>
                <w:rFonts w:ascii="Book Antiqua" w:hAnsi="Book Antiqua"/>
                <w:color w:val="000000" w:themeColor="text1"/>
                <w:sz w:val="20"/>
                <w:szCs w:val="20"/>
              </w:rPr>
              <w:t>“</w:t>
            </w:r>
            <w:r w:rsidRPr="002532D5">
              <w:rPr>
                <w:rFonts w:ascii="Book Antiqua" w:hAnsi="Book Antiqua"/>
                <w:i/>
                <w:color w:val="000000" w:themeColor="text1"/>
                <w:sz w:val="20"/>
                <w:szCs w:val="20"/>
              </w:rPr>
              <w:t>Principi</w:t>
            </w:r>
            <w:r>
              <w:rPr>
                <w:rFonts w:ascii="Book Antiqua" w:hAnsi="Book Antiqua"/>
                <w:i/>
                <w:color w:val="000000" w:themeColor="text1"/>
                <w:sz w:val="20"/>
                <w:szCs w:val="20"/>
              </w:rPr>
              <w:t>o de transparencia y publicidad</w:t>
            </w:r>
            <w:r w:rsidR="002532D5" w:rsidRPr="0032589F">
              <w:rPr>
                <w:rFonts w:ascii="Book Antiqua" w:hAnsi="Book Antiqua" w:cstheme="minorHAnsi"/>
                <w:color w:val="000000" w:themeColor="text1"/>
                <w:sz w:val="20"/>
                <w:szCs w:val="20"/>
                <w:lang w:eastAsia="es-MX"/>
              </w:rPr>
              <w:t xml:space="preserve"> de la </w:t>
            </w:r>
            <w:r w:rsidRPr="0032589F">
              <w:rPr>
                <w:rFonts w:ascii="Book Antiqua" w:hAnsi="Book Antiqua"/>
                <w:color w:val="000000" w:themeColor="text1"/>
                <w:sz w:val="20"/>
                <w:szCs w:val="20"/>
                <w:lang w:val="es-ES_tradnl"/>
              </w:rPr>
              <w:t>Ley Núm. 340-06 y sus modificaciones</w:t>
            </w:r>
            <w:r w:rsidR="002532D5" w:rsidRPr="0032589F">
              <w:rPr>
                <w:rFonts w:ascii="Book Antiqua" w:hAnsi="Book Antiqua" w:cstheme="minorHAnsi"/>
                <w:color w:val="000000" w:themeColor="text1"/>
                <w:sz w:val="20"/>
                <w:szCs w:val="20"/>
                <w:lang w:eastAsia="es-MX"/>
              </w:rPr>
              <w:t xml:space="preserve">, </w:t>
            </w:r>
            <w:r w:rsidR="002532D5" w:rsidRPr="0032589F">
              <w:rPr>
                <w:rFonts w:ascii="Book Antiqua" w:hAnsi="Book Antiqua"/>
                <w:color w:val="000000" w:themeColor="text1"/>
                <w:sz w:val="20"/>
                <w:szCs w:val="20"/>
              </w:rPr>
              <w:t>en atención a que no fue publicado en las plataformas digitales habilitadas para el registro de procesos de contratación públicas.</w:t>
            </w:r>
          </w:p>
          <w:p w:rsidR="002532D5" w:rsidRPr="0032589F" w:rsidRDefault="002532D5" w:rsidP="002532D5">
            <w:pPr>
              <w:pStyle w:val="Sinespaciado"/>
              <w:jc w:val="both"/>
              <w:rPr>
                <w:rFonts w:ascii="Book Antiqua" w:hAnsi="Book Antiqua"/>
                <w:color w:val="000000" w:themeColor="text1"/>
                <w:sz w:val="20"/>
                <w:szCs w:val="20"/>
              </w:rPr>
            </w:pPr>
          </w:p>
          <w:p w:rsidR="0032589F" w:rsidRPr="0032589F" w:rsidRDefault="0032589F" w:rsidP="0032589F">
            <w:pPr>
              <w:jc w:val="both"/>
              <w:rPr>
                <w:rFonts w:ascii="Book Antiqua" w:hAnsi="Book Antiqua" w:cstheme="minorHAnsi"/>
                <w:color w:val="000000" w:themeColor="text1"/>
                <w:sz w:val="20"/>
                <w:szCs w:val="20"/>
                <w:lang w:eastAsia="es-MX"/>
              </w:rPr>
            </w:pPr>
            <w:r w:rsidRPr="0032589F">
              <w:rPr>
                <w:rFonts w:ascii="Book Antiqua" w:hAnsi="Book Antiqua"/>
                <w:color w:val="000000" w:themeColor="text1"/>
                <w:sz w:val="20"/>
                <w:szCs w:val="20"/>
                <w:lang w:val="es-ES_tradnl"/>
              </w:rPr>
              <w:t>Núm</w:t>
            </w:r>
            <w:r w:rsidR="002532D5" w:rsidRPr="0032589F">
              <w:rPr>
                <w:rFonts w:ascii="Book Antiqua" w:hAnsi="Book Antiqua"/>
                <w:color w:val="000000" w:themeColor="text1"/>
                <w:sz w:val="20"/>
                <w:szCs w:val="20"/>
                <w:lang w:val="es-ES_tradnl"/>
              </w:rPr>
              <w:t xml:space="preserve">. </w:t>
            </w:r>
            <w:r w:rsidRPr="0032589F">
              <w:rPr>
                <w:rFonts w:ascii="Book Antiqua" w:hAnsi="Book Antiqua" w:cstheme="minorHAnsi"/>
                <w:color w:val="000000" w:themeColor="text1"/>
                <w:sz w:val="20"/>
                <w:szCs w:val="20"/>
                <w:lang w:eastAsia="es-MX"/>
              </w:rPr>
              <w:t>MPK-EXC-003-2013</w:t>
            </w:r>
          </w:p>
          <w:p w:rsidR="002532D5" w:rsidRPr="002532D5" w:rsidRDefault="0032589F" w:rsidP="0032589F">
            <w:pPr>
              <w:jc w:val="both"/>
              <w:rPr>
                <w:rFonts w:ascii="Book Antiqua" w:hAnsi="Book Antiqua"/>
                <w:color w:val="000000" w:themeColor="text1"/>
                <w:sz w:val="20"/>
                <w:szCs w:val="20"/>
              </w:rPr>
            </w:pPr>
            <w:r>
              <w:rPr>
                <w:rFonts w:ascii="Book Antiqua" w:hAnsi="Book Antiqua" w:cstheme="minorHAnsi"/>
                <w:color w:val="000000" w:themeColor="text1"/>
                <w:sz w:val="20"/>
                <w:szCs w:val="20"/>
                <w:lang w:eastAsia="es-MX"/>
              </w:rPr>
              <w:t>-</w:t>
            </w:r>
            <w:r w:rsidR="002532D5" w:rsidRPr="002532D5">
              <w:rPr>
                <w:rFonts w:ascii="Book Antiqua" w:hAnsi="Book Antiqua"/>
                <w:color w:val="000000" w:themeColor="text1"/>
                <w:sz w:val="20"/>
                <w:szCs w:val="20"/>
              </w:rPr>
              <w:t>El artículo 3 numeral 3 “</w:t>
            </w:r>
            <w:r w:rsidR="002532D5" w:rsidRPr="002532D5">
              <w:rPr>
                <w:rFonts w:ascii="Book Antiqua" w:hAnsi="Book Antiqua"/>
                <w:i/>
                <w:color w:val="000000" w:themeColor="text1"/>
                <w:sz w:val="20"/>
                <w:szCs w:val="20"/>
              </w:rPr>
              <w:t>Principio de transparencia y publicidad”</w:t>
            </w:r>
            <w:r w:rsidR="002532D5" w:rsidRPr="002532D5">
              <w:rPr>
                <w:rFonts w:ascii="Book Antiqua" w:hAnsi="Book Antiqua"/>
                <w:color w:val="000000" w:themeColor="text1"/>
                <w:sz w:val="20"/>
                <w:szCs w:val="20"/>
              </w:rPr>
              <w:t xml:space="preserve"> y artículo 13 </w:t>
            </w:r>
            <w:r w:rsidR="002532D5" w:rsidRPr="002532D5">
              <w:rPr>
                <w:rFonts w:ascii="Book Antiqua" w:hAnsi="Book Antiqua"/>
                <w:color w:val="000000" w:themeColor="text1"/>
                <w:sz w:val="20"/>
                <w:szCs w:val="20"/>
                <w:lang w:val="es-ES_tradnl"/>
              </w:rPr>
              <w:t xml:space="preserve">de la </w:t>
            </w:r>
            <w:r w:rsidRPr="002532D5">
              <w:rPr>
                <w:rFonts w:ascii="Book Antiqua" w:hAnsi="Book Antiqua"/>
                <w:color w:val="000000" w:themeColor="text1"/>
                <w:sz w:val="20"/>
                <w:szCs w:val="20"/>
                <w:lang w:val="es-ES_tradnl"/>
              </w:rPr>
              <w:t>Ley N</w:t>
            </w:r>
            <w:r>
              <w:rPr>
                <w:rFonts w:ascii="Book Antiqua" w:hAnsi="Book Antiqua"/>
                <w:color w:val="000000" w:themeColor="text1"/>
                <w:sz w:val="20"/>
                <w:szCs w:val="20"/>
                <w:lang w:val="es-ES_tradnl"/>
              </w:rPr>
              <w:t>úm</w:t>
            </w:r>
            <w:r w:rsidRPr="002532D5">
              <w:rPr>
                <w:rFonts w:ascii="Book Antiqua" w:hAnsi="Book Antiqua"/>
                <w:color w:val="000000" w:themeColor="text1"/>
                <w:sz w:val="20"/>
                <w:szCs w:val="20"/>
                <w:lang w:val="es-ES_tradnl"/>
              </w:rPr>
              <w:t>. 340-06 y su</w:t>
            </w:r>
            <w:r>
              <w:rPr>
                <w:rFonts w:ascii="Book Antiqua" w:hAnsi="Book Antiqua"/>
                <w:color w:val="000000" w:themeColor="text1"/>
                <w:sz w:val="20"/>
                <w:szCs w:val="20"/>
                <w:lang w:val="es-ES_tradnl"/>
              </w:rPr>
              <w:t>s modificacio</w:t>
            </w:r>
            <w:r w:rsidRPr="002532D5">
              <w:rPr>
                <w:rFonts w:ascii="Book Antiqua" w:hAnsi="Book Antiqua"/>
                <w:color w:val="000000" w:themeColor="text1"/>
                <w:sz w:val="20"/>
                <w:szCs w:val="20"/>
                <w:lang w:val="es-ES_tradnl"/>
              </w:rPr>
              <w:t>n</w:t>
            </w:r>
            <w:r>
              <w:rPr>
                <w:rFonts w:ascii="Book Antiqua" w:hAnsi="Book Antiqua"/>
                <w:color w:val="000000" w:themeColor="text1"/>
                <w:sz w:val="20"/>
                <w:szCs w:val="20"/>
                <w:lang w:val="es-ES_tradnl"/>
              </w:rPr>
              <w:t>es</w:t>
            </w:r>
            <w:r w:rsidR="002532D5" w:rsidRPr="002532D5">
              <w:rPr>
                <w:rFonts w:ascii="Book Antiqua" w:hAnsi="Book Antiqua"/>
                <w:color w:val="000000" w:themeColor="text1"/>
                <w:sz w:val="20"/>
                <w:szCs w:val="20"/>
                <w:lang w:val="es-ES_tradnl"/>
              </w:rPr>
              <w:t xml:space="preserve">, </w:t>
            </w:r>
            <w:r w:rsidR="002532D5" w:rsidRPr="002532D5">
              <w:rPr>
                <w:rFonts w:ascii="Book Antiqua" w:hAnsi="Book Antiqua"/>
                <w:color w:val="000000" w:themeColor="text1"/>
                <w:sz w:val="20"/>
                <w:szCs w:val="20"/>
              </w:rPr>
              <w:t xml:space="preserve">y párrafo </w:t>
            </w:r>
            <w:r w:rsidR="002532D5" w:rsidRPr="002532D5">
              <w:rPr>
                <w:rFonts w:ascii="Book Antiqua" w:hAnsi="Book Antiqua"/>
                <w:color w:val="000000" w:themeColor="text1"/>
                <w:sz w:val="20"/>
                <w:szCs w:val="20"/>
                <w:lang w:val="es-ES_tradnl"/>
              </w:rPr>
              <w:t xml:space="preserve">del </w:t>
            </w:r>
            <w:r w:rsidR="002532D5" w:rsidRPr="002532D5">
              <w:rPr>
                <w:rFonts w:ascii="Book Antiqua" w:hAnsi="Book Antiqua"/>
                <w:color w:val="000000" w:themeColor="text1"/>
                <w:sz w:val="20"/>
                <w:szCs w:val="20"/>
              </w:rPr>
              <w:t>artículo</w:t>
            </w:r>
            <w:r w:rsidR="002532D5" w:rsidRPr="002532D5">
              <w:rPr>
                <w:rFonts w:ascii="Book Antiqua" w:hAnsi="Book Antiqua"/>
                <w:color w:val="000000" w:themeColor="text1"/>
                <w:sz w:val="20"/>
                <w:szCs w:val="20"/>
                <w:lang w:val="es-ES_tradnl"/>
              </w:rPr>
              <w:t xml:space="preserve"> 134 </w:t>
            </w:r>
            <w:r w:rsidR="002532D5" w:rsidRPr="002532D5">
              <w:rPr>
                <w:rFonts w:ascii="Book Antiqua" w:hAnsi="Book Antiqua"/>
                <w:color w:val="000000" w:themeColor="text1"/>
                <w:sz w:val="20"/>
                <w:szCs w:val="20"/>
              </w:rPr>
              <w:t xml:space="preserve">del </w:t>
            </w:r>
            <w:r w:rsidRPr="002532D5">
              <w:rPr>
                <w:rFonts w:ascii="Book Antiqua" w:hAnsi="Book Antiqua"/>
                <w:color w:val="000000" w:themeColor="text1"/>
                <w:sz w:val="20"/>
                <w:szCs w:val="20"/>
              </w:rPr>
              <w:t>Reg</w:t>
            </w:r>
            <w:r>
              <w:rPr>
                <w:rFonts w:ascii="Book Antiqua" w:hAnsi="Book Antiqua"/>
                <w:color w:val="000000" w:themeColor="text1"/>
                <w:sz w:val="20"/>
                <w:szCs w:val="20"/>
              </w:rPr>
              <w:t>lamento de Aplicación Núm</w:t>
            </w:r>
            <w:r w:rsidRPr="002532D5">
              <w:rPr>
                <w:rFonts w:ascii="Book Antiqua" w:hAnsi="Book Antiqua"/>
                <w:color w:val="000000" w:themeColor="text1"/>
                <w:sz w:val="20"/>
                <w:szCs w:val="20"/>
              </w:rPr>
              <w:t>. 543-12</w:t>
            </w:r>
            <w:r w:rsidR="002532D5" w:rsidRPr="002532D5">
              <w:rPr>
                <w:rFonts w:ascii="Book Antiqua" w:hAnsi="Book Antiqua"/>
                <w:color w:val="000000" w:themeColor="text1"/>
                <w:sz w:val="20"/>
                <w:szCs w:val="20"/>
              </w:rPr>
              <w:t>,</w:t>
            </w:r>
            <w:r w:rsidR="002532D5" w:rsidRPr="002532D5">
              <w:rPr>
                <w:rFonts w:ascii="Book Antiqua" w:hAnsi="Book Antiqua"/>
                <w:color w:val="000000" w:themeColor="text1"/>
                <w:sz w:val="20"/>
                <w:szCs w:val="20"/>
                <w:lang w:val="es-ES_tradnl"/>
              </w:rPr>
              <w:t xml:space="preserve"> sobre su obligación de poner a disposición del interesado y del Órgano Rector copia fiel del expediente para el conocimiento de la presente investigación de manera inmediata y al presentarlo incompleto, lo que constituye una obstrucción de la investigación;</w:t>
            </w:r>
          </w:p>
          <w:p w:rsidR="002532D5" w:rsidRPr="002532D5" w:rsidRDefault="0032589F" w:rsidP="002532D5">
            <w:pPr>
              <w:jc w:val="both"/>
              <w:rPr>
                <w:rFonts w:ascii="Book Antiqua" w:hAnsi="Book Antiqua"/>
                <w:sz w:val="20"/>
                <w:szCs w:val="20"/>
              </w:rPr>
            </w:pPr>
            <w:r>
              <w:rPr>
                <w:rFonts w:ascii="Book Antiqua" w:eastAsia="Calibri" w:hAnsi="Book Antiqua" w:cs="Calibri"/>
                <w:color w:val="000000" w:themeColor="text1"/>
                <w:sz w:val="20"/>
                <w:szCs w:val="20"/>
                <w:lang w:eastAsia="es-ES_tradnl"/>
              </w:rPr>
              <w:t>-</w:t>
            </w:r>
            <w:r w:rsidR="002532D5" w:rsidRPr="002532D5">
              <w:rPr>
                <w:rFonts w:ascii="Book Antiqua" w:hAnsi="Book Antiqua"/>
                <w:color w:val="000000" w:themeColor="text1"/>
                <w:sz w:val="20"/>
                <w:szCs w:val="20"/>
              </w:rPr>
              <w:t>E</w:t>
            </w:r>
            <w:r w:rsidR="002532D5" w:rsidRPr="002532D5">
              <w:rPr>
                <w:rFonts w:ascii="Book Antiqua" w:hAnsi="Book Antiqua" w:cstheme="minorHAnsi"/>
                <w:color w:val="000000" w:themeColor="text1"/>
                <w:sz w:val="20"/>
                <w:szCs w:val="20"/>
                <w:lang w:eastAsia="es-MX"/>
              </w:rPr>
              <w:t xml:space="preserve">l artículo 3 numeral 3 </w:t>
            </w:r>
            <w:r w:rsidRPr="002532D5">
              <w:rPr>
                <w:rFonts w:ascii="Book Antiqua" w:hAnsi="Book Antiqua"/>
                <w:color w:val="000000" w:themeColor="text1"/>
                <w:sz w:val="20"/>
                <w:szCs w:val="20"/>
              </w:rPr>
              <w:t>“</w:t>
            </w:r>
            <w:r w:rsidRPr="002532D5">
              <w:rPr>
                <w:rFonts w:ascii="Book Antiqua" w:hAnsi="Book Antiqua"/>
                <w:i/>
                <w:color w:val="000000" w:themeColor="text1"/>
                <w:sz w:val="20"/>
                <w:szCs w:val="20"/>
              </w:rPr>
              <w:t>Principio de transparencia y publicidad”</w:t>
            </w:r>
            <w:r w:rsidR="002532D5" w:rsidRPr="002532D5">
              <w:rPr>
                <w:rFonts w:ascii="Book Antiqua" w:hAnsi="Book Antiqua" w:cstheme="minorHAnsi"/>
                <w:color w:val="000000" w:themeColor="text1"/>
                <w:sz w:val="20"/>
                <w:szCs w:val="20"/>
                <w:lang w:eastAsia="es-MX"/>
              </w:rPr>
              <w:t xml:space="preserve">de la </w:t>
            </w:r>
            <w:r w:rsidRPr="002532D5">
              <w:rPr>
                <w:rFonts w:ascii="Book Antiqua" w:hAnsi="Book Antiqua"/>
                <w:color w:val="000000" w:themeColor="text1"/>
                <w:sz w:val="20"/>
                <w:szCs w:val="20"/>
                <w:lang w:val="es-ES_tradnl"/>
              </w:rPr>
              <w:t>Ley N</w:t>
            </w:r>
            <w:r>
              <w:rPr>
                <w:rFonts w:ascii="Book Antiqua" w:hAnsi="Book Antiqua"/>
                <w:color w:val="000000" w:themeColor="text1"/>
                <w:sz w:val="20"/>
                <w:szCs w:val="20"/>
                <w:lang w:val="es-ES_tradnl"/>
              </w:rPr>
              <w:t>úm</w:t>
            </w:r>
            <w:r w:rsidRPr="002532D5">
              <w:rPr>
                <w:rFonts w:ascii="Book Antiqua" w:hAnsi="Book Antiqua"/>
                <w:color w:val="000000" w:themeColor="text1"/>
                <w:sz w:val="20"/>
                <w:szCs w:val="20"/>
                <w:lang w:val="es-ES_tradnl"/>
              </w:rPr>
              <w:t>. 340-06 y su</w:t>
            </w:r>
            <w:r>
              <w:rPr>
                <w:rFonts w:ascii="Book Antiqua" w:hAnsi="Book Antiqua"/>
                <w:color w:val="000000" w:themeColor="text1"/>
                <w:sz w:val="20"/>
                <w:szCs w:val="20"/>
                <w:lang w:val="es-ES_tradnl"/>
              </w:rPr>
              <w:t>s modificacio</w:t>
            </w:r>
            <w:r w:rsidRPr="002532D5">
              <w:rPr>
                <w:rFonts w:ascii="Book Antiqua" w:hAnsi="Book Antiqua"/>
                <w:color w:val="000000" w:themeColor="text1"/>
                <w:sz w:val="20"/>
                <w:szCs w:val="20"/>
                <w:lang w:val="es-ES_tradnl"/>
              </w:rPr>
              <w:t>n</w:t>
            </w:r>
            <w:r>
              <w:rPr>
                <w:rFonts w:ascii="Book Antiqua" w:hAnsi="Book Antiqua"/>
                <w:color w:val="000000" w:themeColor="text1"/>
                <w:sz w:val="20"/>
                <w:szCs w:val="20"/>
                <w:lang w:val="es-ES_tradnl"/>
              </w:rPr>
              <w:t>es</w:t>
            </w:r>
            <w:r w:rsidR="002532D5" w:rsidRPr="002532D5">
              <w:rPr>
                <w:rFonts w:ascii="Book Antiqua" w:hAnsi="Book Antiqua" w:cstheme="minorHAnsi"/>
                <w:color w:val="000000" w:themeColor="text1"/>
                <w:sz w:val="20"/>
                <w:szCs w:val="20"/>
                <w:lang w:eastAsia="es-MX"/>
              </w:rPr>
              <w:t xml:space="preserve">, </w:t>
            </w:r>
            <w:r w:rsidR="002532D5" w:rsidRPr="002532D5">
              <w:rPr>
                <w:rFonts w:ascii="Book Antiqua" w:hAnsi="Book Antiqua"/>
                <w:color w:val="000000" w:themeColor="text1"/>
                <w:sz w:val="20"/>
                <w:szCs w:val="20"/>
              </w:rPr>
              <w:t>en atención a que no fue publicado en las plataformas digitales habilitadas para el registro de procesos de contratación públicas.</w:t>
            </w:r>
          </w:p>
          <w:p w:rsidR="008B45A5" w:rsidRDefault="008B45A5" w:rsidP="0032589F">
            <w:pPr>
              <w:rPr>
                <w:rFonts w:ascii="Book Antiqua" w:hAnsi="Book Antiqua"/>
                <w:sz w:val="20"/>
                <w:szCs w:val="20"/>
              </w:rPr>
            </w:pPr>
          </w:p>
          <w:p w:rsidR="0032589F" w:rsidRPr="0032589F" w:rsidRDefault="0032589F" w:rsidP="0032589F">
            <w:pPr>
              <w:jc w:val="both"/>
              <w:rPr>
                <w:rFonts w:ascii="Book Antiqua" w:hAnsi="Book Antiqua"/>
                <w:sz w:val="20"/>
                <w:szCs w:val="20"/>
              </w:rPr>
            </w:pPr>
            <w:r w:rsidRPr="0032589F">
              <w:rPr>
                <w:rFonts w:ascii="Book Antiqua" w:hAnsi="Book Antiqua"/>
                <w:sz w:val="20"/>
                <w:szCs w:val="20"/>
              </w:rPr>
              <w:lastRenderedPageBreak/>
              <w:t xml:space="preserve">Por igual, </w:t>
            </w:r>
            <w:r w:rsidRPr="000B38B1">
              <w:rPr>
                <w:rFonts w:ascii="Book Antiqua" w:hAnsi="Book Antiqua"/>
                <w:b/>
                <w:sz w:val="20"/>
                <w:szCs w:val="20"/>
              </w:rPr>
              <w:t>recomienda</w:t>
            </w:r>
            <w:r>
              <w:rPr>
                <w:rFonts w:ascii="Book Antiqua" w:hAnsi="Book Antiqua"/>
                <w:sz w:val="20"/>
                <w:szCs w:val="20"/>
              </w:rPr>
              <w:t xml:space="preserve"> participar</w:t>
            </w:r>
            <w:r w:rsidRPr="0032589F">
              <w:rPr>
                <w:rFonts w:ascii="Book Antiqua" w:hAnsi="Book Antiqua"/>
                <w:sz w:val="20"/>
                <w:szCs w:val="20"/>
              </w:rPr>
              <w:t xml:space="preserve"> en capacitaciones e </w:t>
            </w:r>
            <w:r>
              <w:rPr>
                <w:rFonts w:ascii="Book Antiqua" w:hAnsi="Book Antiqua"/>
                <w:sz w:val="20"/>
                <w:szCs w:val="20"/>
                <w:lang w:val="es-ES_tradnl"/>
              </w:rPr>
              <w:t>identificar</w:t>
            </w:r>
            <w:r w:rsidRPr="0032589F">
              <w:rPr>
                <w:rFonts w:ascii="Book Antiqua" w:hAnsi="Book Antiqua"/>
                <w:sz w:val="20"/>
                <w:szCs w:val="20"/>
                <w:lang w:val="es-ES_tradnl"/>
              </w:rPr>
              <w:t xml:space="preserve"> a los funcionarios responsables y </w:t>
            </w:r>
            <w:r>
              <w:rPr>
                <w:rFonts w:ascii="Book Antiqua" w:hAnsi="Book Antiqua"/>
                <w:sz w:val="20"/>
                <w:szCs w:val="20"/>
                <w:lang w:val="es-ES_tradnl"/>
              </w:rPr>
              <w:t>determinar</w:t>
            </w:r>
            <w:r w:rsidRPr="0032589F">
              <w:rPr>
                <w:rFonts w:ascii="Book Antiqua" w:hAnsi="Book Antiqua"/>
                <w:sz w:val="20"/>
                <w:szCs w:val="20"/>
                <w:lang w:val="es-ES_tradnl"/>
              </w:rPr>
              <w:t xml:space="preserve"> las sanciones que pudieran corresponder</w:t>
            </w:r>
            <w:r>
              <w:rPr>
                <w:rFonts w:ascii="Book Antiqua" w:hAnsi="Book Antiqua"/>
                <w:sz w:val="20"/>
                <w:szCs w:val="20"/>
                <w:lang w:val="es-ES_tradnl"/>
              </w:rPr>
              <w:t>.</w:t>
            </w:r>
          </w:p>
        </w:tc>
      </w:tr>
      <w:tr w:rsidR="008B45A5" w:rsidRPr="008B45A5" w:rsidTr="008B45A5">
        <w:tc>
          <w:tcPr>
            <w:tcW w:w="2263" w:type="dxa"/>
          </w:tcPr>
          <w:p w:rsidR="008B45A5" w:rsidRPr="008B45A5" w:rsidRDefault="008B45A5" w:rsidP="00FB5B57">
            <w:pPr>
              <w:jc w:val="both"/>
              <w:rPr>
                <w:rFonts w:ascii="Book Antiqua" w:hAnsi="Book Antiqua"/>
                <w:sz w:val="20"/>
                <w:szCs w:val="20"/>
              </w:rPr>
            </w:pPr>
            <w:r w:rsidRPr="008B45A5">
              <w:rPr>
                <w:rFonts w:ascii="Book Antiqua" w:hAnsi="Book Antiqua"/>
                <w:b/>
                <w:sz w:val="20"/>
                <w:szCs w:val="20"/>
              </w:rPr>
              <w:lastRenderedPageBreak/>
              <w:t>Resolución RIC-96-2020 d/f 8.9.2020</w:t>
            </w:r>
          </w:p>
        </w:tc>
        <w:tc>
          <w:tcPr>
            <w:tcW w:w="2127" w:type="dxa"/>
          </w:tcPr>
          <w:p w:rsidR="008B45A5" w:rsidRPr="008B45A5" w:rsidRDefault="008B45A5" w:rsidP="00FB5B57">
            <w:pPr>
              <w:jc w:val="both"/>
              <w:rPr>
                <w:rFonts w:ascii="Book Antiqua" w:hAnsi="Book Antiqua"/>
                <w:sz w:val="20"/>
                <w:szCs w:val="20"/>
              </w:rPr>
            </w:pPr>
            <w:r w:rsidRPr="008B45A5">
              <w:rPr>
                <w:rFonts w:ascii="Book Antiqua" w:hAnsi="Book Antiqua"/>
                <w:b/>
                <w:sz w:val="20"/>
                <w:szCs w:val="20"/>
              </w:rPr>
              <w:t>Recurso jerárquico</w:t>
            </w:r>
          </w:p>
        </w:tc>
        <w:tc>
          <w:tcPr>
            <w:tcW w:w="4110" w:type="dxa"/>
          </w:tcPr>
          <w:p w:rsidR="008B45A5" w:rsidRPr="00FB5B57" w:rsidRDefault="008B45A5" w:rsidP="00FB5B57">
            <w:pPr>
              <w:jc w:val="both"/>
              <w:rPr>
                <w:rFonts w:ascii="Book Antiqua" w:hAnsi="Book Antiqua"/>
                <w:sz w:val="20"/>
                <w:szCs w:val="20"/>
              </w:rPr>
            </w:pPr>
            <w:r w:rsidRPr="00FB5B57">
              <w:rPr>
                <w:rFonts w:ascii="Book Antiqua" w:hAnsi="Book Antiqua"/>
                <w:sz w:val="20"/>
                <w:szCs w:val="20"/>
              </w:rPr>
              <w:t xml:space="preserve">Danilo José Domínguez </w:t>
            </w:r>
            <w:r w:rsidR="00FB5B57" w:rsidRPr="00FB5B57">
              <w:rPr>
                <w:rFonts w:ascii="Book Antiqua" w:hAnsi="Book Antiqua"/>
                <w:sz w:val="20"/>
                <w:szCs w:val="20"/>
              </w:rPr>
              <w:t>vs CORPHOTELS / Licitación Pública Nacional Núm</w:t>
            </w:r>
            <w:r w:rsidRPr="00FB5B57">
              <w:rPr>
                <w:rFonts w:ascii="Book Antiqua" w:hAnsi="Book Antiqua"/>
                <w:sz w:val="20"/>
                <w:szCs w:val="20"/>
              </w:rPr>
              <w:t>. CFIH-CCC-LPN-2015-001, llevado a cabo para el “Arrendamiento del teatro Agua y Luz”</w:t>
            </w:r>
          </w:p>
        </w:tc>
        <w:tc>
          <w:tcPr>
            <w:tcW w:w="5492" w:type="dxa"/>
          </w:tcPr>
          <w:p w:rsidR="008B45A5" w:rsidRDefault="009D0E84" w:rsidP="007A05A2">
            <w:pPr>
              <w:jc w:val="both"/>
              <w:rPr>
                <w:rFonts w:ascii="Book Antiqua" w:hAnsi="Book Antiqua"/>
                <w:bCs/>
                <w:color w:val="000000" w:themeColor="text1"/>
                <w:sz w:val="20"/>
                <w:szCs w:val="20"/>
              </w:rPr>
            </w:pPr>
            <w:r w:rsidRPr="007A05A2">
              <w:rPr>
                <w:rFonts w:ascii="Book Antiqua" w:hAnsi="Book Antiqua"/>
                <w:b/>
                <w:sz w:val="20"/>
                <w:szCs w:val="20"/>
              </w:rPr>
              <w:t>ANULA</w:t>
            </w:r>
            <w:r w:rsidR="007A05A2">
              <w:rPr>
                <w:rFonts w:ascii="Book Antiqua" w:hAnsi="Book Antiqua"/>
                <w:sz w:val="20"/>
                <w:szCs w:val="20"/>
              </w:rPr>
              <w:t xml:space="preserve">el procedimiento, </w:t>
            </w:r>
            <w:r w:rsidR="007A05A2" w:rsidRPr="0032589F">
              <w:rPr>
                <w:rFonts w:ascii="Book Antiqua" w:hAnsi="Book Antiqua"/>
                <w:sz w:val="20"/>
                <w:szCs w:val="20"/>
              </w:rPr>
              <w:t>por incumplimiento c</w:t>
            </w:r>
            <w:r w:rsidR="007A05A2" w:rsidRPr="0032589F">
              <w:rPr>
                <w:rFonts w:ascii="Book Antiqua" w:hAnsi="Book Antiqua"/>
                <w:color w:val="000000" w:themeColor="text1"/>
                <w:sz w:val="20"/>
                <w:szCs w:val="20"/>
              </w:rPr>
              <w:t xml:space="preserve">on </w:t>
            </w:r>
            <w:r w:rsidR="007A05A2" w:rsidRPr="0032589F">
              <w:rPr>
                <w:rFonts w:ascii="Book Antiqua" w:hAnsi="Book Antiqua"/>
                <w:bCs/>
                <w:color w:val="000000" w:themeColor="text1"/>
                <w:sz w:val="20"/>
                <w:szCs w:val="20"/>
              </w:rPr>
              <w:t>las siguientes disposiciones:</w:t>
            </w:r>
          </w:p>
          <w:p w:rsidR="007A05A2" w:rsidRPr="007A05A2" w:rsidRDefault="007A05A2" w:rsidP="007A05A2">
            <w:pPr>
              <w:jc w:val="both"/>
              <w:rPr>
                <w:rFonts w:ascii="Book Antiqua" w:hAnsi="Book Antiqua"/>
                <w:bCs/>
                <w:color w:val="000000" w:themeColor="text1"/>
                <w:sz w:val="20"/>
                <w:szCs w:val="20"/>
              </w:rPr>
            </w:pPr>
          </w:p>
          <w:p w:rsidR="007A05A2" w:rsidRPr="007A05A2" w:rsidRDefault="007A05A2" w:rsidP="007A05A2">
            <w:pPr>
              <w:jc w:val="both"/>
              <w:rPr>
                <w:rFonts w:ascii="Book Antiqua" w:hAnsi="Book Antiqua" w:cs="Calibri"/>
                <w:sz w:val="20"/>
                <w:szCs w:val="20"/>
                <w:lang w:eastAsia="es-DO"/>
              </w:rPr>
            </w:pPr>
            <w:r>
              <w:rPr>
                <w:rFonts w:ascii="Book Antiqua" w:hAnsi="Book Antiqua"/>
                <w:b/>
                <w:sz w:val="20"/>
                <w:szCs w:val="20"/>
              </w:rPr>
              <w:t>-</w:t>
            </w:r>
            <w:r w:rsidRPr="007A05A2">
              <w:rPr>
                <w:rFonts w:ascii="Book Antiqua" w:hAnsi="Book Antiqua" w:cs="Calibri"/>
                <w:sz w:val="20"/>
                <w:szCs w:val="20"/>
                <w:lang w:eastAsia="es-DO"/>
              </w:rPr>
              <w:t>Otorgar el plazo el plazo mínimo establecido para la presentación de las ofertas estipulado en el párrafo único del artículo 54 la Ley Núm. 340-06 y su modificación, inobservancia que   ocasionó que se violara el Principio de participación amparado en el numeral 8 del artículo 3 de la referida ley.</w:t>
            </w:r>
          </w:p>
          <w:p w:rsidR="007A05A2" w:rsidRPr="007A05A2" w:rsidRDefault="007A05A2" w:rsidP="007A05A2">
            <w:pPr>
              <w:jc w:val="both"/>
              <w:rPr>
                <w:rFonts w:ascii="Book Antiqua" w:hAnsi="Book Antiqua" w:cs="Calibri"/>
                <w:sz w:val="20"/>
                <w:szCs w:val="20"/>
                <w:lang w:eastAsia="es-DO"/>
              </w:rPr>
            </w:pPr>
            <w:r>
              <w:rPr>
                <w:rFonts w:ascii="Book Antiqua" w:hAnsi="Book Antiqua" w:cs="Calibri"/>
                <w:sz w:val="20"/>
                <w:szCs w:val="20"/>
                <w:lang w:eastAsia="es-DO"/>
              </w:rPr>
              <w:t>-</w:t>
            </w:r>
            <w:r w:rsidRPr="007A05A2">
              <w:rPr>
                <w:rFonts w:ascii="Book Antiqua" w:hAnsi="Book Antiqua" w:cs="Calibri"/>
                <w:sz w:val="20"/>
                <w:szCs w:val="20"/>
                <w:lang w:eastAsia="es-DO"/>
              </w:rPr>
              <w:t>Con incluir en el pliego de condiciones todos los criterios, sub-criterios, parámetros o valoraciones que permitan establecer de manera objetiva su evaluación y calificación Artículo 3 numeral 4 “</w:t>
            </w:r>
            <w:r w:rsidRPr="007A05A2">
              <w:rPr>
                <w:rFonts w:ascii="Book Antiqua" w:hAnsi="Book Antiqua" w:cs="Calibri"/>
                <w:i/>
                <w:sz w:val="20"/>
                <w:szCs w:val="20"/>
                <w:lang w:eastAsia="es-DO"/>
              </w:rPr>
              <w:t>principio de economía y flexibilidad”</w:t>
            </w:r>
            <w:r w:rsidRPr="007A05A2">
              <w:rPr>
                <w:rFonts w:ascii="Book Antiqua" w:hAnsi="Book Antiqua" w:cs="Calibri"/>
                <w:sz w:val="20"/>
                <w:szCs w:val="20"/>
                <w:lang w:eastAsia="es-DO"/>
              </w:rPr>
              <w:t xml:space="preserve"> y artículo 20 de la Ley Núm. 340-06 y su modificación contenidas en la Ley 449-06 y al artículo 88 del Reglamento de Aplicación Núm. 543-12. </w:t>
            </w:r>
          </w:p>
          <w:p w:rsidR="007A05A2" w:rsidRPr="007A05A2" w:rsidRDefault="007A05A2" w:rsidP="007A05A2">
            <w:pPr>
              <w:jc w:val="both"/>
              <w:rPr>
                <w:rFonts w:ascii="Book Antiqua" w:hAnsi="Book Antiqua" w:cs="Calibri"/>
                <w:sz w:val="20"/>
                <w:szCs w:val="20"/>
                <w:lang w:eastAsia="es-DO"/>
              </w:rPr>
            </w:pPr>
            <w:r>
              <w:rPr>
                <w:rFonts w:ascii="Book Antiqua" w:hAnsi="Book Antiqua" w:cs="Calibri"/>
                <w:sz w:val="20"/>
                <w:szCs w:val="20"/>
                <w:lang w:eastAsia="es-DO"/>
              </w:rPr>
              <w:t>-</w:t>
            </w:r>
            <w:r w:rsidRPr="007A05A2">
              <w:rPr>
                <w:rFonts w:ascii="Book Antiqua" w:hAnsi="Book Antiqua" w:cs="Calibri"/>
                <w:sz w:val="20"/>
                <w:szCs w:val="20"/>
                <w:lang w:eastAsia="es-DO"/>
              </w:rPr>
              <w:t>Con conformar debidamente el comité de Compras y Contrataciones con el quorum requerido en todos los actos administrativos en violación al artículo 36 del Reglamento de Aplicación Núm. 543-12.</w:t>
            </w:r>
          </w:p>
          <w:p w:rsidR="007A05A2" w:rsidRPr="007A05A2" w:rsidRDefault="007A05A2" w:rsidP="007A05A2">
            <w:pPr>
              <w:jc w:val="both"/>
              <w:rPr>
                <w:rFonts w:ascii="Book Antiqua" w:hAnsi="Book Antiqua" w:cs="Calibri"/>
                <w:sz w:val="20"/>
                <w:szCs w:val="20"/>
                <w:lang w:eastAsia="es-DO"/>
              </w:rPr>
            </w:pPr>
            <w:r>
              <w:rPr>
                <w:rFonts w:ascii="Book Antiqua" w:hAnsi="Book Antiqua" w:cs="Calibri"/>
                <w:sz w:val="20"/>
                <w:szCs w:val="20"/>
                <w:lang w:eastAsia="es-DO"/>
              </w:rPr>
              <w:t>-</w:t>
            </w:r>
            <w:r w:rsidRPr="007A05A2">
              <w:rPr>
                <w:rFonts w:ascii="Book Antiqua" w:hAnsi="Book Antiqua" w:cs="Calibri"/>
                <w:sz w:val="20"/>
                <w:szCs w:val="20"/>
                <w:lang w:eastAsia="es-DO"/>
              </w:rPr>
              <w:t>Con incluir las cláusulas fundamentales en el contrato de concesión de obras en violación al artículo 57 de la Ley Núm. 340-06 y su modificación.</w:t>
            </w:r>
          </w:p>
          <w:p w:rsidR="007A05A2" w:rsidRPr="007A05A2" w:rsidRDefault="007A05A2" w:rsidP="007A05A2">
            <w:pPr>
              <w:jc w:val="both"/>
              <w:rPr>
                <w:rFonts w:ascii="Book Antiqua" w:hAnsi="Book Antiqua" w:cs="Calibri"/>
                <w:sz w:val="20"/>
                <w:szCs w:val="20"/>
                <w:lang w:eastAsia="es-DO"/>
              </w:rPr>
            </w:pPr>
            <w:r>
              <w:rPr>
                <w:rFonts w:ascii="Book Antiqua" w:hAnsi="Book Antiqua" w:cs="Calibri"/>
                <w:sz w:val="20"/>
                <w:szCs w:val="20"/>
                <w:lang w:eastAsia="es-DO"/>
              </w:rPr>
              <w:t>-</w:t>
            </w:r>
            <w:r w:rsidRPr="007A05A2">
              <w:rPr>
                <w:rFonts w:ascii="Book Antiqua" w:hAnsi="Book Antiqua" w:cs="Calibri"/>
                <w:sz w:val="20"/>
                <w:szCs w:val="20"/>
                <w:lang w:eastAsia="es-DO"/>
              </w:rPr>
              <w:t xml:space="preserve">Con emitir conforme a los lineamientos establecidos en el artículo 98 del Reglamento de Aplicación Núm. 543-12, el informe de evaluación de la oferta económica. </w:t>
            </w:r>
          </w:p>
          <w:p w:rsidR="007A05A2" w:rsidRPr="007A05A2" w:rsidRDefault="007A05A2" w:rsidP="007A05A2">
            <w:pPr>
              <w:jc w:val="both"/>
              <w:rPr>
                <w:rFonts w:ascii="Book Antiqua" w:hAnsi="Book Antiqua" w:cs="Calibri"/>
                <w:sz w:val="20"/>
                <w:szCs w:val="20"/>
                <w:lang w:eastAsia="es-DO"/>
              </w:rPr>
            </w:pPr>
            <w:r>
              <w:rPr>
                <w:rFonts w:ascii="Book Antiqua" w:hAnsi="Book Antiqua" w:cs="Calibri"/>
                <w:sz w:val="20"/>
                <w:szCs w:val="20"/>
                <w:lang w:eastAsia="es-DO"/>
              </w:rPr>
              <w:t>-</w:t>
            </w:r>
            <w:r w:rsidRPr="007A05A2">
              <w:rPr>
                <w:rFonts w:ascii="Book Antiqua" w:hAnsi="Book Antiqua" w:cs="Calibri"/>
                <w:sz w:val="20"/>
                <w:szCs w:val="20"/>
                <w:lang w:eastAsia="es-DO"/>
              </w:rPr>
              <w:t xml:space="preserve">Con la motivación y argumentación que deben contener </w:t>
            </w:r>
            <w:r w:rsidRPr="007A05A2">
              <w:rPr>
                <w:rFonts w:ascii="Book Antiqua" w:hAnsi="Book Antiqua" w:cs="Calibri"/>
                <w:sz w:val="20"/>
                <w:szCs w:val="20"/>
                <w:lang w:eastAsia="es-DO"/>
              </w:rPr>
              <w:lastRenderedPageBreak/>
              <w:t>todos los actos administrativos al omitir los fundamentos que sirvieron como base para seleccionar la propuesta ganadora en violación al numeral 4 del artículo 3 y al párrafo II del artículo 9 de la Ley Núm. 107-13.</w:t>
            </w:r>
          </w:p>
          <w:p w:rsidR="00AC11C4" w:rsidRPr="007A05A2" w:rsidRDefault="00AC11C4" w:rsidP="007A05A2">
            <w:pPr>
              <w:jc w:val="both"/>
              <w:rPr>
                <w:rFonts w:ascii="Book Antiqua" w:hAnsi="Book Antiqua"/>
                <w:sz w:val="20"/>
                <w:szCs w:val="20"/>
              </w:rPr>
            </w:pPr>
          </w:p>
          <w:p w:rsidR="00AC11C4" w:rsidRPr="008B45A5" w:rsidRDefault="00AC11C4" w:rsidP="007A05A2">
            <w:pPr>
              <w:jc w:val="both"/>
              <w:rPr>
                <w:rFonts w:ascii="Book Antiqua" w:hAnsi="Book Antiqua"/>
                <w:sz w:val="20"/>
                <w:szCs w:val="20"/>
              </w:rPr>
            </w:pPr>
            <w:r w:rsidRPr="0032589F">
              <w:rPr>
                <w:rFonts w:ascii="Book Antiqua" w:hAnsi="Book Antiqua"/>
                <w:sz w:val="20"/>
                <w:szCs w:val="20"/>
              </w:rPr>
              <w:t xml:space="preserve">Por igual, </w:t>
            </w:r>
            <w:r w:rsidRPr="000B38B1">
              <w:rPr>
                <w:rFonts w:ascii="Book Antiqua" w:hAnsi="Book Antiqua"/>
                <w:b/>
                <w:sz w:val="20"/>
                <w:szCs w:val="20"/>
              </w:rPr>
              <w:t>recomienda</w:t>
            </w:r>
            <w:r>
              <w:rPr>
                <w:rFonts w:ascii="Book Antiqua" w:hAnsi="Book Antiqua"/>
                <w:sz w:val="20"/>
                <w:szCs w:val="20"/>
              </w:rPr>
              <w:t xml:space="preserve"> participar</w:t>
            </w:r>
            <w:r w:rsidRPr="0032589F">
              <w:rPr>
                <w:rFonts w:ascii="Book Antiqua" w:hAnsi="Book Antiqua"/>
                <w:sz w:val="20"/>
                <w:szCs w:val="20"/>
              </w:rPr>
              <w:t xml:space="preserve"> en capacitaciones</w:t>
            </w:r>
            <w:r>
              <w:rPr>
                <w:rFonts w:ascii="Book Antiqua" w:hAnsi="Book Antiqua"/>
                <w:sz w:val="20"/>
                <w:szCs w:val="20"/>
              </w:rPr>
              <w:t>.</w:t>
            </w:r>
          </w:p>
        </w:tc>
      </w:tr>
      <w:tr w:rsidR="008B45A5" w:rsidRPr="008B45A5" w:rsidTr="008B45A5">
        <w:tc>
          <w:tcPr>
            <w:tcW w:w="2263" w:type="dxa"/>
          </w:tcPr>
          <w:p w:rsidR="008B45A5" w:rsidRPr="008B45A5" w:rsidRDefault="008B45A5" w:rsidP="00FB5B57">
            <w:pPr>
              <w:jc w:val="both"/>
              <w:rPr>
                <w:rFonts w:ascii="Book Antiqua" w:hAnsi="Book Antiqua"/>
                <w:sz w:val="20"/>
                <w:szCs w:val="20"/>
              </w:rPr>
            </w:pPr>
            <w:r w:rsidRPr="008B45A5">
              <w:rPr>
                <w:rFonts w:ascii="Book Antiqua" w:hAnsi="Book Antiqua"/>
                <w:b/>
                <w:sz w:val="20"/>
                <w:szCs w:val="20"/>
              </w:rPr>
              <w:lastRenderedPageBreak/>
              <w:t>Resolución RIC-97-2020 d/f 8.9.2020</w:t>
            </w:r>
          </w:p>
        </w:tc>
        <w:tc>
          <w:tcPr>
            <w:tcW w:w="2127" w:type="dxa"/>
          </w:tcPr>
          <w:p w:rsidR="008B45A5" w:rsidRPr="008B45A5" w:rsidRDefault="008B45A5" w:rsidP="00FB5B57">
            <w:pPr>
              <w:jc w:val="both"/>
              <w:rPr>
                <w:rFonts w:ascii="Book Antiqua" w:hAnsi="Book Antiqua"/>
                <w:sz w:val="20"/>
                <w:szCs w:val="20"/>
              </w:rPr>
            </w:pPr>
            <w:r w:rsidRPr="008B45A5">
              <w:rPr>
                <w:rFonts w:ascii="Book Antiqua" w:hAnsi="Book Antiqua"/>
                <w:b/>
                <w:sz w:val="20"/>
                <w:szCs w:val="20"/>
              </w:rPr>
              <w:t>Recurso jerárquico</w:t>
            </w:r>
          </w:p>
        </w:tc>
        <w:tc>
          <w:tcPr>
            <w:tcW w:w="4110" w:type="dxa"/>
          </w:tcPr>
          <w:p w:rsidR="008B45A5" w:rsidRPr="00FB5B57" w:rsidRDefault="008B45A5" w:rsidP="00FB5B57">
            <w:pPr>
              <w:jc w:val="both"/>
              <w:rPr>
                <w:rFonts w:ascii="Book Antiqua" w:hAnsi="Book Antiqua"/>
                <w:sz w:val="20"/>
                <w:szCs w:val="20"/>
              </w:rPr>
            </w:pPr>
            <w:r w:rsidRPr="00FB5B57">
              <w:rPr>
                <w:rFonts w:ascii="Book Antiqua" w:hAnsi="Book Antiqua"/>
                <w:sz w:val="20"/>
                <w:szCs w:val="20"/>
              </w:rPr>
              <w:t xml:space="preserve">Díaz Rodríguez Group </w:t>
            </w:r>
            <w:r w:rsidR="00FB5B57" w:rsidRPr="00FB5B57">
              <w:rPr>
                <w:rFonts w:ascii="Book Antiqua" w:hAnsi="Book Antiqua"/>
                <w:sz w:val="20"/>
                <w:szCs w:val="20"/>
              </w:rPr>
              <w:t xml:space="preserve">vs CORPHOTELS / Licitación Pública Nacional </w:t>
            </w:r>
            <w:r w:rsidRPr="00FB5B57">
              <w:rPr>
                <w:rFonts w:ascii="Book Antiqua" w:hAnsi="Book Antiqua"/>
                <w:sz w:val="20"/>
                <w:szCs w:val="20"/>
              </w:rPr>
              <w:t>Núm. CFIH-CCC-LPN-</w:t>
            </w:r>
            <w:r w:rsidR="00FB5B57" w:rsidRPr="00FB5B57">
              <w:rPr>
                <w:rFonts w:ascii="Book Antiqua" w:hAnsi="Book Antiqua"/>
                <w:sz w:val="20"/>
                <w:szCs w:val="20"/>
              </w:rPr>
              <w:t>2016-01 llevado a cabo para el “</w:t>
            </w:r>
            <w:r w:rsidRPr="00FB5B57">
              <w:rPr>
                <w:rFonts w:ascii="Book Antiqua" w:hAnsi="Book Antiqua"/>
                <w:sz w:val="20"/>
                <w:szCs w:val="20"/>
              </w:rPr>
              <w:t>alquiler d</w:t>
            </w:r>
            <w:r w:rsidR="00FB5B57" w:rsidRPr="00FB5B57">
              <w:rPr>
                <w:rFonts w:ascii="Book Antiqua" w:hAnsi="Book Antiqua"/>
                <w:sz w:val="20"/>
                <w:szCs w:val="20"/>
              </w:rPr>
              <w:t>el Hotel Nueva Suiza Constanza”</w:t>
            </w:r>
          </w:p>
        </w:tc>
        <w:tc>
          <w:tcPr>
            <w:tcW w:w="5492" w:type="dxa"/>
          </w:tcPr>
          <w:p w:rsidR="000B38B1" w:rsidRPr="000B38B1" w:rsidRDefault="009D0E84" w:rsidP="000B38B1">
            <w:pPr>
              <w:jc w:val="both"/>
              <w:rPr>
                <w:rFonts w:ascii="Book Antiqua" w:hAnsi="Book Antiqua"/>
                <w:bCs/>
                <w:color w:val="000000" w:themeColor="text1"/>
                <w:sz w:val="20"/>
                <w:szCs w:val="20"/>
              </w:rPr>
            </w:pPr>
            <w:r w:rsidRPr="009D0E84">
              <w:rPr>
                <w:rFonts w:ascii="Book Antiqua" w:hAnsi="Book Antiqua"/>
                <w:b/>
                <w:sz w:val="20"/>
                <w:szCs w:val="20"/>
              </w:rPr>
              <w:t>ANULA</w:t>
            </w:r>
            <w:r w:rsidR="000B38B1" w:rsidRPr="000B38B1">
              <w:rPr>
                <w:rFonts w:ascii="Book Antiqua" w:hAnsi="Book Antiqua"/>
                <w:sz w:val="20"/>
                <w:szCs w:val="20"/>
              </w:rPr>
              <w:t>el procedimiento, por incumplimiento c</w:t>
            </w:r>
            <w:r w:rsidR="000B38B1" w:rsidRPr="000B38B1">
              <w:rPr>
                <w:rFonts w:ascii="Book Antiqua" w:hAnsi="Book Antiqua"/>
                <w:color w:val="000000" w:themeColor="text1"/>
                <w:sz w:val="20"/>
                <w:szCs w:val="20"/>
              </w:rPr>
              <w:t xml:space="preserve">on </w:t>
            </w:r>
            <w:r w:rsidR="000B38B1" w:rsidRPr="000B38B1">
              <w:rPr>
                <w:rFonts w:ascii="Book Antiqua" w:hAnsi="Book Antiqua"/>
                <w:bCs/>
                <w:color w:val="000000" w:themeColor="text1"/>
                <w:sz w:val="20"/>
                <w:szCs w:val="20"/>
              </w:rPr>
              <w:t>las siguientes disposiciones:</w:t>
            </w:r>
          </w:p>
          <w:p w:rsidR="008B45A5" w:rsidRPr="000B38B1" w:rsidRDefault="008B45A5" w:rsidP="000B38B1">
            <w:pPr>
              <w:jc w:val="both"/>
              <w:rPr>
                <w:rFonts w:ascii="Book Antiqua" w:hAnsi="Book Antiqua"/>
                <w:sz w:val="20"/>
                <w:szCs w:val="20"/>
              </w:rPr>
            </w:pPr>
          </w:p>
          <w:p w:rsidR="000B38B1" w:rsidRPr="000B38B1" w:rsidRDefault="000B38B1" w:rsidP="000B38B1">
            <w:pPr>
              <w:jc w:val="both"/>
              <w:rPr>
                <w:rFonts w:ascii="Book Antiqua" w:hAnsi="Book Antiqua" w:cs="Calibri"/>
                <w:sz w:val="20"/>
                <w:szCs w:val="20"/>
                <w:lang w:eastAsia="es-DO"/>
              </w:rPr>
            </w:pPr>
            <w:r w:rsidRPr="000B38B1">
              <w:rPr>
                <w:rFonts w:ascii="Book Antiqua" w:hAnsi="Book Antiqua"/>
                <w:sz w:val="20"/>
                <w:szCs w:val="20"/>
              </w:rPr>
              <w:t xml:space="preserve">-Artículo 3 numeral 4 </w:t>
            </w:r>
            <w:r w:rsidRPr="000B38B1">
              <w:rPr>
                <w:rFonts w:ascii="Book Antiqua" w:hAnsi="Book Antiqua"/>
                <w:i/>
                <w:sz w:val="20"/>
                <w:szCs w:val="20"/>
              </w:rPr>
              <w:t>“principio de economía y flexibilidad”</w:t>
            </w:r>
            <w:r w:rsidRPr="000B38B1">
              <w:rPr>
                <w:rFonts w:ascii="Book Antiqua" w:hAnsi="Book Antiqua"/>
                <w:sz w:val="20"/>
                <w:szCs w:val="20"/>
              </w:rPr>
              <w:t xml:space="preserve">, párrafo I del artículo 8 y artículo 20 de la Ley No. 340-06 y su modificación contenidas en la Ley 449-06 y al artículo 88 del Reglamento de Aplicación No.543-12, al no </w:t>
            </w:r>
            <w:r w:rsidRPr="000B38B1">
              <w:rPr>
                <w:rFonts w:ascii="Book Antiqua" w:hAnsi="Book Antiqua" w:cs="Calibri"/>
                <w:sz w:val="20"/>
                <w:szCs w:val="20"/>
                <w:lang w:eastAsia="es-DO"/>
              </w:rPr>
              <w:t>incluir en el pliego de condiciones específicas todos los parámetros o valoraciones que permitan establecer de manera objetiva su evaluación y calificación.</w:t>
            </w:r>
          </w:p>
          <w:p w:rsidR="000B38B1" w:rsidRPr="000B38B1" w:rsidRDefault="000B38B1" w:rsidP="000B38B1">
            <w:pPr>
              <w:jc w:val="both"/>
              <w:rPr>
                <w:rFonts w:ascii="Book Antiqua" w:hAnsi="Book Antiqua"/>
                <w:sz w:val="20"/>
                <w:szCs w:val="20"/>
              </w:rPr>
            </w:pPr>
            <w:r w:rsidRPr="000B38B1">
              <w:rPr>
                <w:rFonts w:ascii="Book Antiqua" w:hAnsi="Book Antiqua" w:cs="Calibri"/>
                <w:sz w:val="20"/>
                <w:szCs w:val="20"/>
                <w:lang w:eastAsia="es-DO"/>
              </w:rPr>
              <w:t>-</w:t>
            </w:r>
            <w:r w:rsidRPr="000B38B1">
              <w:rPr>
                <w:rFonts w:ascii="Book Antiqua" w:hAnsi="Book Antiqua"/>
                <w:sz w:val="20"/>
                <w:szCs w:val="20"/>
              </w:rPr>
              <w:t>P</w:t>
            </w:r>
            <w:r w:rsidRPr="000B38B1">
              <w:rPr>
                <w:rFonts w:ascii="Book Antiqua" w:hAnsi="Book Antiqua" w:cs="TimesNewRomanPSMT-Identity-H"/>
                <w:sz w:val="20"/>
                <w:szCs w:val="20"/>
                <w:lang w:val="es-ES_tradnl" w:eastAsia="es-ES_tradnl"/>
              </w:rPr>
              <w:t>árrafo del artículo 54 de la Ley 340-06 y su modificación, al no otorgar el plazo mínimo exigido de sesenta (60) días entre la convocatoria y la presentación de ofertas.</w:t>
            </w:r>
          </w:p>
          <w:p w:rsidR="000B38B1" w:rsidRPr="000B38B1" w:rsidRDefault="000B38B1" w:rsidP="000B38B1">
            <w:pPr>
              <w:jc w:val="both"/>
              <w:rPr>
                <w:rFonts w:ascii="Book Antiqua" w:hAnsi="Book Antiqua"/>
                <w:sz w:val="20"/>
                <w:szCs w:val="20"/>
              </w:rPr>
            </w:pPr>
            <w:r w:rsidRPr="000B38B1">
              <w:rPr>
                <w:rFonts w:ascii="Book Antiqua" w:hAnsi="Book Antiqua"/>
                <w:sz w:val="20"/>
                <w:szCs w:val="20"/>
              </w:rPr>
              <w:t>-</w:t>
            </w:r>
            <w:r w:rsidRPr="000B38B1">
              <w:rPr>
                <w:rFonts w:ascii="Book Antiqua" w:hAnsi="Book Antiqua" w:cs="Calibri"/>
                <w:sz w:val="20"/>
                <w:szCs w:val="20"/>
                <w:lang w:eastAsia="es-DO"/>
              </w:rPr>
              <w:t xml:space="preserve">Párrafo III del artículo 8 de la Ley No. 340-06 y su modificación y al artículo 91 del Reglamento de Aplicación No. 543-12, correspondientes a la etapa de subsanación, por solicitarle a Díaz Rodríguez Group S.R.L. la presentación de documentaciones no subsanables y omitir solicitar subsanación y/o aclaración de documentos subsanables como el acto de consorcio. </w:t>
            </w:r>
          </w:p>
          <w:p w:rsidR="000B38B1" w:rsidRPr="000B38B1" w:rsidRDefault="000B38B1" w:rsidP="000B38B1">
            <w:pPr>
              <w:jc w:val="both"/>
              <w:rPr>
                <w:rFonts w:ascii="Book Antiqua" w:hAnsi="Book Antiqua"/>
                <w:sz w:val="20"/>
                <w:szCs w:val="20"/>
                <w:lang w:val="es-MX"/>
              </w:rPr>
            </w:pPr>
            <w:r w:rsidRPr="000B38B1">
              <w:rPr>
                <w:rFonts w:ascii="Book Antiqua" w:eastAsia="Batangfalt" w:hAnsi="Book Antiqua" w:cs="Times New Roman"/>
                <w:sz w:val="20"/>
                <w:szCs w:val="20"/>
                <w:lang w:eastAsia="es-ES_tradnl"/>
              </w:rPr>
              <w:t>-</w:t>
            </w:r>
            <w:r w:rsidRPr="000B38B1">
              <w:rPr>
                <w:rFonts w:ascii="Book Antiqua" w:eastAsia="Batangfalt" w:hAnsi="Book Antiqua"/>
                <w:sz w:val="20"/>
                <w:szCs w:val="20"/>
                <w:lang w:eastAsia="es-ES_tradnl"/>
              </w:rPr>
              <w:t>Párrafo</w:t>
            </w:r>
            <w:r w:rsidRPr="000B38B1">
              <w:rPr>
                <w:rFonts w:ascii="Book Antiqua" w:hAnsi="Book Antiqua"/>
                <w:sz w:val="20"/>
                <w:szCs w:val="20"/>
              </w:rPr>
              <w:t xml:space="preserve">4 del artículo 3, párrafo II del artículo 9 y </w:t>
            </w:r>
            <w:r w:rsidRPr="000B38B1">
              <w:rPr>
                <w:rFonts w:ascii="Book Antiqua" w:eastAsia="Batangfalt" w:hAnsi="Book Antiqua"/>
                <w:sz w:val="20"/>
                <w:szCs w:val="20"/>
                <w:lang w:val="es-ES_tradnl" w:eastAsia="es-ES_tradnl"/>
              </w:rPr>
              <w:t xml:space="preserve">párrafo I del artículo 14 de la Ley No. 107-13, al no indicar en los informes periciales y tampoco en el acta de adjudicación </w:t>
            </w:r>
            <w:r w:rsidRPr="000B38B1">
              <w:rPr>
                <w:rFonts w:ascii="Book Antiqua" w:eastAsia="Quattrocento" w:hAnsi="Book Antiqua" w:cs="Quattrocento"/>
                <w:sz w:val="20"/>
                <w:szCs w:val="20"/>
              </w:rPr>
              <w:t xml:space="preserve">las motivaciones que justifiquen la puntuación otorgada a la </w:t>
            </w:r>
            <w:r w:rsidRPr="000B38B1">
              <w:rPr>
                <w:rFonts w:ascii="Book Antiqua" w:eastAsia="Quattrocento" w:hAnsi="Book Antiqua" w:cs="Quattrocento"/>
                <w:sz w:val="20"/>
                <w:szCs w:val="20"/>
              </w:rPr>
              <w:lastRenderedPageBreak/>
              <w:t>adjudicataria.</w:t>
            </w:r>
          </w:p>
        </w:tc>
      </w:tr>
      <w:tr w:rsidR="008B45A5" w:rsidRPr="008B45A5" w:rsidTr="000B38B1">
        <w:trPr>
          <w:trHeight w:val="64"/>
        </w:trPr>
        <w:tc>
          <w:tcPr>
            <w:tcW w:w="2263" w:type="dxa"/>
          </w:tcPr>
          <w:p w:rsidR="008B45A5" w:rsidRPr="008B45A5" w:rsidRDefault="008B45A5" w:rsidP="00FB5B57">
            <w:pPr>
              <w:jc w:val="both"/>
              <w:rPr>
                <w:rFonts w:ascii="Book Antiqua" w:hAnsi="Book Antiqua"/>
                <w:b/>
                <w:bCs/>
                <w:sz w:val="20"/>
                <w:szCs w:val="20"/>
              </w:rPr>
            </w:pPr>
            <w:r w:rsidRPr="008B45A5">
              <w:rPr>
                <w:rFonts w:ascii="Book Antiqua" w:hAnsi="Book Antiqua"/>
                <w:b/>
                <w:sz w:val="20"/>
                <w:szCs w:val="20"/>
              </w:rPr>
              <w:lastRenderedPageBreak/>
              <w:t>Resolución RIC-108-2020, d/f 15.9.2020</w:t>
            </w:r>
          </w:p>
        </w:tc>
        <w:tc>
          <w:tcPr>
            <w:tcW w:w="2127" w:type="dxa"/>
          </w:tcPr>
          <w:p w:rsidR="008B45A5" w:rsidRPr="008B45A5" w:rsidRDefault="008B45A5" w:rsidP="00FB5B57">
            <w:pPr>
              <w:jc w:val="both"/>
              <w:rPr>
                <w:rFonts w:ascii="Book Antiqua" w:hAnsi="Book Antiqua"/>
                <w:b/>
                <w:sz w:val="20"/>
                <w:szCs w:val="20"/>
              </w:rPr>
            </w:pPr>
            <w:r w:rsidRPr="008B45A5">
              <w:rPr>
                <w:rFonts w:ascii="Book Antiqua" w:hAnsi="Book Antiqua"/>
                <w:b/>
                <w:sz w:val="20"/>
                <w:szCs w:val="20"/>
                <w:lang w:val="es-ES_tradnl"/>
              </w:rPr>
              <w:t>Recurso jerárquico</w:t>
            </w:r>
          </w:p>
        </w:tc>
        <w:tc>
          <w:tcPr>
            <w:tcW w:w="4110" w:type="dxa"/>
          </w:tcPr>
          <w:p w:rsidR="008B45A5" w:rsidRPr="00FB5B57" w:rsidRDefault="008B45A5" w:rsidP="00FB5B57">
            <w:pPr>
              <w:jc w:val="both"/>
              <w:rPr>
                <w:rFonts w:ascii="Book Antiqua" w:hAnsi="Book Antiqua"/>
                <w:sz w:val="20"/>
                <w:szCs w:val="20"/>
                <w:lang w:val="es-ES_tradnl"/>
              </w:rPr>
            </w:pPr>
            <w:r w:rsidRPr="008B45A5">
              <w:rPr>
                <w:rFonts w:ascii="Book Antiqua" w:hAnsi="Book Antiqua"/>
                <w:sz w:val="20"/>
                <w:szCs w:val="20"/>
                <w:lang w:val="es-ES_tradnl"/>
              </w:rPr>
              <w:t xml:space="preserve">Levitex, S.R.L. </w:t>
            </w:r>
            <w:r w:rsidR="00FB5B57">
              <w:rPr>
                <w:rFonts w:ascii="Book Antiqua" w:hAnsi="Book Antiqua"/>
                <w:sz w:val="20"/>
                <w:szCs w:val="20"/>
                <w:lang w:val="es-ES_tradnl"/>
              </w:rPr>
              <w:t xml:space="preserve">vs </w:t>
            </w:r>
            <w:r w:rsidR="00FB5B57" w:rsidRPr="008B45A5">
              <w:rPr>
                <w:rFonts w:ascii="Book Antiqua" w:hAnsi="Book Antiqua"/>
                <w:sz w:val="20"/>
                <w:szCs w:val="20"/>
                <w:lang w:val="es-ES_tradnl"/>
              </w:rPr>
              <w:t>Ayuntamiento de Santiago</w:t>
            </w:r>
            <w:r w:rsidR="00FB5B57">
              <w:rPr>
                <w:rFonts w:ascii="Book Antiqua" w:hAnsi="Book Antiqua"/>
                <w:sz w:val="20"/>
                <w:szCs w:val="20"/>
                <w:lang w:val="es-ES_tradnl"/>
              </w:rPr>
              <w:t xml:space="preserve"> / C</w:t>
            </w:r>
            <w:r w:rsidRPr="008B45A5">
              <w:rPr>
                <w:rFonts w:ascii="Book Antiqua" w:hAnsi="Book Antiqua"/>
                <w:sz w:val="20"/>
                <w:szCs w:val="20"/>
                <w:lang w:val="es-ES_tradnl"/>
              </w:rPr>
              <w:t xml:space="preserve">omparación de precios Núm. </w:t>
            </w:r>
            <w:r w:rsidRPr="008B45A5">
              <w:rPr>
                <w:rFonts w:ascii="Book Antiqua" w:hAnsi="Book Antiqua"/>
                <w:sz w:val="20"/>
                <w:szCs w:val="20"/>
              </w:rPr>
              <w:t xml:space="preserve">AYUNTAMIENTO STGO-CCC-CP-2020-001 </w:t>
            </w:r>
            <w:r w:rsidRPr="008B45A5">
              <w:rPr>
                <w:rFonts w:ascii="Book Antiqua" w:hAnsi="Book Antiqua"/>
                <w:sz w:val="20"/>
                <w:szCs w:val="20"/>
                <w:lang w:val="es-ES_tradnl"/>
              </w:rPr>
              <w:t xml:space="preserve">llevado a cabo para la </w:t>
            </w:r>
            <w:r w:rsidRPr="008B45A5">
              <w:rPr>
                <w:rFonts w:ascii="Book Antiqua" w:hAnsi="Book Antiqua"/>
                <w:iCs/>
                <w:sz w:val="20"/>
                <w:szCs w:val="20"/>
              </w:rPr>
              <w:t>“Construcción de obras en el Municipio de Santiago (Obras del Presupuesto Participativo 2020)</w:t>
            </w:r>
            <w:r w:rsidRPr="008B45A5">
              <w:rPr>
                <w:rFonts w:ascii="Book Antiqua" w:hAnsi="Book Antiqua"/>
                <w:iCs/>
                <w:sz w:val="20"/>
                <w:szCs w:val="20"/>
                <w:lang w:val="es-ES_tradnl"/>
              </w:rPr>
              <w:t>”</w:t>
            </w:r>
          </w:p>
        </w:tc>
        <w:tc>
          <w:tcPr>
            <w:tcW w:w="5492" w:type="dxa"/>
          </w:tcPr>
          <w:p w:rsidR="000B38B1" w:rsidRPr="000B38B1" w:rsidRDefault="009D0E84" w:rsidP="000B38B1">
            <w:pPr>
              <w:jc w:val="both"/>
              <w:rPr>
                <w:rFonts w:ascii="Book Antiqua" w:hAnsi="Book Antiqua"/>
                <w:b/>
                <w:color w:val="000000" w:themeColor="text1"/>
                <w:sz w:val="20"/>
                <w:szCs w:val="20"/>
              </w:rPr>
            </w:pPr>
            <w:r w:rsidRPr="000B38B1">
              <w:rPr>
                <w:rFonts w:ascii="Book Antiqua" w:hAnsi="Book Antiqua"/>
                <w:b/>
                <w:sz w:val="20"/>
                <w:szCs w:val="20"/>
              </w:rPr>
              <w:t>ANULA</w:t>
            </w:r>
            <w:r w:rsidR="000B38B1" w:rsidRPr="000B38B1">
              <w:rPr>
                <w:rFonts w:ascii="Book Antiqua" w:hAnsi="Book Antiqua"/>
                <w:sz w:val="20"/>
                <w:szCs w:val="20"/>
              </w:rPr>
              <w:t xml:space="preserve">el procedimiento, por incumplimiento </w:t>
            </w:r>
            <w:r w:rsidR="000B38B1" w:rsidRPr="000B38B1">
              <w:rPr>
                <w:rFonts w:ascii="Book Antiqua" w:hAnsi="Book Antiqua"/>
                <w:sz w:val="20"/>
                <w:szCs w:val="20"/>
                <w:lang w:val="es-ES_tradnl"/>
              </w:rPr>
              <w:t>al artículo 20 de la Ley Núm. 340-06 y sus modificaciones, comprobado mediante las graves irregularidades en el pliego de condiciones, tales como</w:t>
            </w:r>
            <w:r w:rsidR="000B38B1" w:rsidRPr="000B38B1">
              <w:rPr>
                <w:rFonts w:ascii="Book Antiqua" w:hAnsi="Book Antiqua"/>
                <w:color w:val="000000" w:themeColor="text1"/>
                <w:sz w:val="20"/>
                <w:szCs w:val="20"/>
              </w:rPr>
              <w:t xml:space="preserve"> la falta de información vital (presupuesto base) para la presentación adecuada de una oferta económica, con los efectos sobre el Lote VI, y </w:t>
            </w:r>
            <w:r w:rsidR="000B38B1" w:rsidRPr="000B38B1">
              <w:rPr>
                <w:rFonts w:ascii="Book Antiqua" w:hAnsi="Book Antiqua"/>
                <w:b/>
                <w:color w:val="000000" w:themeColor="text1"/>
                <w:sz w:val="20"/>
                <w:szCs w:val="20"/>
              </w:rPr>
              <w:t>declara</w:t>
            </w:r>
            <w:r w:rsidR="000B38B1" w:rsidRPr="000B38B1">
              <w:rPr>
                <w:rFonts w:ascii="Book Antiqua" w:hAnsi="Book Antiqua"/>
                <w:color w:val="000000" w:themeColor="text1"/>
                <w:sz w:val="20"/>
                <w:szCs w:val="20"/>
              </w:rPr>
              <w:t xml:space="preserve">incumplimientos </w:t>
            </w:r>
            <w:r>
              <w:rPr>
                <w:rFonts w:ascii="Book Antiqua" w:hAnsi="Book Antiqua"/>
                <w:color w:val="000000" w:themeColor="text1"/>
                <w:sz w:val="20"/>
                <w:szCs w:val="20"/>
              </w:rPr>
              <w:t>en cuanto</w:t>
            </w:r>
            <w:r w:rsidR="000B38B1" w:rsidRPr="000B38B1">
              <w:rPr>
                <w:rFonts w:ascii="Book Antiqua" w:hAnsi="Book Antiqua"/>
                <w:color w:val="000000" w:themeColor="text1"/>
                <w:sz w:val="20"/>
                <w:szCs w:val="20"/>
              </w:rPr>
              <w:t>:</w:t>
            </w:r>
          </w:p>
          <w:p w:rsidR="000B38B1" w:rsidRPr="000B38B1" w:rsidRDefault="000B38B1" w:rsidP="000B38B1">
            <w:pPr>
              <w:jc w:val="both"/>
              <w:rPr>
                <w:rFonts w:ascii="Book Antiqua" w:hAnsi="Book Antiqua"/>
                <w:b/>
                <w:color w:val="000000" w:themeColor="text1"/>
                <w:sz w:val="20"/>
                <w:szCs w:val="20"/>
              </w:rPr>
            </w:pPr>
          </w:p>
          <w:p w:rsidR="000B38B1" w:rsidRPr="000B38B1" w:rsidRDefault="000B38B1" w:rsidP="000B38B1">
            <w:pPr>
              <w:autoSpaceDE w:val="0"/>
              <w:autoSpaceDN w:val="0"/>
              <w:adjustRightInd w:val="0"/>
              <w:jc w:val="both"/>
              <w:rPr>
                <w:rFonts w:ascii="Book Antiqua" w:hAnsi="Book Antiqua"/>
                <w:sz w:val="20"/>
                <w:szCs w:val="20"/>
              </w:rPr>
            </w:pPr>
            <w:r w:rsidRPr="000B38B1">
              <w:rPr>
                <w:rFonts w:ascii="Book Antiqua" w:eastAsia="Calibri" w:hAnsi="Book Antiqua" w:cs="TimesNewRomanPSMT-Identity-H"/>
                <w:sz w:val="20"/>
                <w:szCs w:val="20"/>
              </w:rPr>
              <w:t xml:space="preserve">-De los numerales 1 al 4 del artículo 3, y el artículo 20 de </w:t>
            </w:r>
            <w:r w:rsidRPr="000B38B1">
              <w:rPr>
                <w:rFonts w:ascii="Book Antiqua" w:hAnsi="Book Antiqua"/>
                <w:sz w:val="20"/>
                <w:szCs w:val="20"/>
              </w:rPr>
              <w:t xml:space="preserve">la Ley Núm. 340-06 y sus modificaciones, que define los principiosde </w:t>
            </w:r>
            <w:r w:rsidRPr="000B38B1">
              <w:rPr>
                <w:rFonts w:ascii="Book Antiqua" w:hAnsi="Book Antiqua"/>
                <w:i/>
                <w:iCs/>
                <w:sz w:val="20"/>
                <w:szCs w:val="20"/>
              </w:rPr>
              <w:t xml:space="preserve">eficiencia, igualdad y libre competencia, transparencia y publicidad y economía y flexibilidad, </w:t>
            </w:r>
            <w:r w:rsidRPr="000B38B1">
              <w:rPr>
                <w:rFonts w:ascii="Book Antiqua" w:hAnsi="Book Antiqua"/>
                <w:sz w:val="20"/>
                <w:szCs w:val="20"/>
              </w:rPr>
              <w:t>respectivamente,</w:t>
            </w:r>
            <w:r w:rsidRPr="000B38B1">
              <w:rPr>
                <w:rFonts w:ascii="Book Antiqua" w:eastAsia="Calibri" w:hAnsi="Book Antiqua" w:cs="TimesNewRomanPSMT-Identity-H"/>
                <w:sz w:val="20"/>
                <w:szCs w:val="20"/>
              </w:rPr>
              <w:t>puesto que por la falta de publicación presupuesto base en el pliego de condiciones el Ayuntamiento de Santiago no otorgó condiciones óptimas para que los oferentes pudieran preparar su oferta económica, además de que no se publicó el informe de los peritos;</w:t>
            </w:r>
          </w:p>
          <w:p w:rsidR="000B38B1" w:rsidRPr="000B38B1" w:rsidRDefault="000B38B1" w:rsidP="000B38B1">
            <w:pPr>
              <w:autoSpaceDE w:val="0"/>
              <w:autoSpaceDN w:val="0"/>
              <w:adjustRightInd w:val="0"/>
              <w:jc w:val="both"/>
              <w:rPr>
                <w:rFonts w:ascii="Book Antiqua" w:hAnsi="Book Antiqua"/>
                <w:sz w:val="20"/>
                <w:szCs w:val="20"/>
              </w:rPr>
            </w:pPr>
            <w:r w:rsidRPr="000B38B1">
              <w:rPr>
                <w:rFonts w:ascii="Book Antiqua" w:eastAsia="Calibri" w:hAnsi="Book Antiqua" w:cs="TimesNewRomanPSMT-Identity-H"/>
                <w:sz w:val="20"/>
                <w:szCs w:val="20"/>
              </w:rPr>
              <w:t xml:space="preserve">-Párrafo II del artículo 9 de </w:t>
            </w:r>
            <w:r w:rsidRPr="000B38B1">
              <w:rPr>
                <w:rFonts w:ascii="Book Antiqua" w:hAnsi="Book Antiqua"/>
                <w:sz w:val="20"/>
                <w:szCs w:val="20"/>
              </w:rPr>
              <w:t>la Ley Núm. 107-13, que indica la motivación como los requisitos de validez de los actos administrativos, debido a que el “acto administrativo de adjudicación No. 2020-01”, de fecha 28 de enero de 2020, no explicó las razones jurídicas para rechazar su propuesta, y porque la respuesta a su recurso de impugnación dictada por el Comité de Compras en fecha 5 de febrero de 2020, no respondió a los planteamientos realizados por el recurrente</w:t>
            </w:r>
          </w:p>
          <w:p w:rsidR="000B38B1" w:rsidRPr="000B38B1" w:rsidRDefault="000B38B1" w:rsidP="000B38B1">
            <w:pPr>
              <w:autoSpaceDE w:val="0"/>
              <w:autoSpaceDN w:val="0"/>
              <w:adjustRightInd w:val="0"/>
              <w:jc w:val="both"/>
              <w:rPr>
                <w:rFonts w:ascii="Book Antiqua" w:eastAsia="Calibri" w:hAnsi="Book Antiqua" w:cs="TimesNewRomanPSMT-Identity-H"/>
                <w:sz w:val="20"/>
                <w:szCs w:val="20"/>
              </w:rPr>
            </w:pPr>
            <w:r w:rsidRPr="000B38B1">
              <w:rPr>
                <w:rFonts w:ascii="Book Antiqua" w:eastAsia="Calibri" w:hAnsi="Book Antiqua" w:cs="TimesNewRomanPSMT-Identity-H"/>
                <w:sz w:val="20"/>
                <w:szCs w:val="20"/>
              </w:rPr>
              <w:t xml:space="preserve">-Numeral 8 y 9 de </w:t>
            </w:r>
            <w:r w:rsidRPr="000B38B1">
              <w:rPr>
                <w:rFonts w:ascii="Book Antiqua" w:hAnsi="Book Antiqua"/>
                <w:sz w:val="20"/>
                <w:szCs w:val="20"/>
              </w:rPr>
              <w:t xml:space="preserve">la Ley Núm. 340-06 y sus modificaciones, que establece el principio de </w:t>
            </w:r>
            <w:r w:rsidRPr="000B38B1">
              <w:rPr>
                <w:rFonts w:ascii="Book Antiqua" w:hAnsi="Book Antiqua"/>
                <w:i/>
                <w:iCs/>
                <w:sz w:val="20"/>
                <w:szCs w:val="20"/>
              </w:rPr>
              <w:t>participación y razonabilidad</w:t>
            </w:r>
            <w:r w:rsidRPr="000B38B1">
              <w:rPr>
                <w:rFonts w:ascii="Book Antiqua" w:hAnsi="Book Antiqua"/>
                <w:iCs/>
                <w:sz w:val="20"/>
                <w:szCs w:val="20"/>
              </w:rPr>
              <w:t>respectivamente</w:t>
            </w:r>
            <w:r w:rsidRPr="000B38B1">
              <w:rPr>
                <w:rFonts w:ascii="Book Antiqua" w:hAnsi="Book Antiqua"/>
                <w:i/>
                <w:sz w:val="20"/>
                <w:szCs w:val="20"/>
              </w:rPr>
              <w:t xml:space="preserve">, y </w:t>
            </w:r>
            <w:r w:rsidRPr="000B38B1">
              <w:rPr>
                <w:rFonts w:ascii="Book Antiqua" w:hAnsi="Book Antiqua"/>
                <w:iCs/>
                <w:sz w:val="20"/>
                <w:szCs w:val="20"/>
              </w:rPr>
              <w:t xml:space="preserve">numeral 22 del artículo 3 de </w:t>
            </w:r>
            <w:r w:rsidRPr="000B38B1">
              <w:rPr>
                <w:rFonts w:ascii="Book Antiqua" w:hAnsi="Book Antiqua"/>
                <w:iCs/>
                <w:sz w:val="20"/>
                <w:szCs w:val="20"/>
              </w:rPr>
              <w:lastRenderedPageBreak/>
              <w:t xml:space="preserve">la Ley Núm. 107-13 que establece el debido proceso, por establecer en el pliego de condiciones la descalificación automática y </w:t>
            </w:r>
            <w:r w:rsidRPr="000B38B1">
              <w:rPr>
                <w:rFonts w:ascii="Book Antiqua" w:hAnsi="Book Antiqua"/>
                <w:sz w:val="20"/>
                <w:szCs w:val="20"/>
              </w:rPr>
              <w:t xml:space="preserve">sin más trámite de las ofertas con valores totales mayor o menor al 10% del presupuesto base de cada lote (…)” </w:t>
            </w:r>
            <w:r w:rsidRPr="000B38B1">
              <w:rPr>
                <w:rFonts w:ascii="Book Antiqua" w:eastAsia="Calibri" w:hAnsi="Book Antiqua" w:cs="TimesNewRomanPSMT-Identity-H"/>
                <w:sz w:val="20"/>
                <w:szCs w:val="20"/>
              </w:rPr>
              <w:t xml:space="preserve">y por tanto no considerar que los precios por debajo del presupuesto </w:t>
            </w:r>
            <w:r w:rsidRPr="000B38B1">
              <w:rPr>
                <w:rFonts w:ascii="Book Antiqua" w:hAnsi="Book Antiqua" w:cs="Arial"/>
                <w:iCs/>
                <w:sz w:val="20"/>
                <w:szCs w:val="20"/>
              </w:rPr>
              <w:t xml:space="preserve">pueden estar sustentados en circunstancias legítimamente justificadas, por lo que en esos casos </w:t>
            </w:r>
            <w:r w:rsidRPr="000B38B1">
              <w:rPr>
                <w:rFonts w:ascii="Book Antiqua" w:hAnsi="Book Antiqua"/>
                <w:sz w:val="20"/>
                <w:szCs w:val="20"/>
              </w:rPr>
              <w:t>siempre debe darse la oportunidad al oferente de explicar y aclarar la sustentabilidad de su oferta económica;</w:t>
            </w:r>
          </w:p>
          <w:p w:rsidR="000B38B1" w:rsidRPr="000B38B1" w:rsidRDefault="000B38B1" w:rsidP="000B38B1">
            <w:pPr>
              <w:autoSpaceDE w:val="0"/>
              <w:autoSpaceDN w:val="0"/>
              <w:adjustRightInd w:val="0"/>
              <w:jc w:val="both"/>
              <w:rPr>
                <w:rFonts w:eastAsia="Calibri" w:cs="TimesNewRomanPSMT-Identity-H"/>
                <w:sz w:val="20"/>
                <w:szCs w:val="20"/>
                <w:lang w:val="es-MX"/>
              </w:rPr>
            </w:pPr>
            <w:r w:rsidRPr="000B38B1">
              <w:rPr>
                <w:rFonts w:ascii="Book Antiqua" w:eastAsia="Calibri" w:hAnsi="Book Antiqua" w:cs="TimesNewRomanPSMT-Identity-H"/>
                <w:sz w:val="20"/>
                <w:szCs w:val="20"/>
              </w:rPr>
              <w:t>-Artículo 102 del Reglamento de Aplicación porque el “</w:t>
            </w:r>
            <w:r w:rsidRPr="000B38B1">
              <w:rPr>
                <w:rFonts w:ascii="Book Antiqua" w:hAnsi="Book Antiqua"/>
                <w:i/>
                <w:sz w:val="20"/>
                <w:szCs w:val="20"/>
              </w:rPr>
              <w:t>acto administrativo de adjudicación No. 2020-01</w:t>
            </w:r>
            <w:r w:rsidRPr="000B38B1">
              <w:rPr>
                <w:rFonts w:ascii="Book Antiqua" w:hAnsi="Book Antiqua"/>
                <w:sz w:val="20"/>
                <w:szCs w:val="20"/>
              </w:rPr>
              <w:t xml:space="preserve">”, de fecha 28 de enero de 2020 no indica cual fue el método de evaluación, y </w:t>
            </w:r>
            <w:r w:rsidRPr="000B38B1">
              <w:rPr>
                <w:rFonts w:ascii="Book Antiqua" w:eastAsia="Calibri" w:hAnsi="Book Antiqua" w:cs="TimesNewRomanPSMT-Identity-H"/>
                <w:sz w:val="20"/>
                <w:szCs w:val="20"/>
              </w:rPr>
              <w:t xml:space="preserve">numeral 4 de la </w:t>
            </w:r>
            <w:r w:rsidRPr="000B38B1">
              <w:rPr>
                <w:rFonts w:ascii="Book Antiqua" w:hAnsi="Book Antiqua"/>
                <w:sz w:val="20"/>
                <w:szCs w:val="20"/>
              </w:rPr>
              <w:t>Ley Núm. 340-06 y sus modificaciones, porque el criterio de adjudicación fue impreciso y no detalló los aspectos a cumplir para poder ser adjudicatarios.</w:t>
            </w:r>
          </w:p>
        </w:tc>
      </w:tr>
      <w:tr w:rsidR="008B45A5" w:rsidRPr="008B45A5" w:rsidTr="00FB5B57">
        <w:trPr>
          <w:trHeight w:val="1559"/>
        </w:trPr>
        <w:tc>
          <w:tcPr>
            <w:tcW w:w="2263" w:type="dxa"/>
          </w:tcPr>
          <w:p w:rsidR="008B45A5" w:rsidRPr="008B45A5" w:rsidRDefault="008B45A5" w:rsidP="00FB5B57">
            <w:pPr>
              <w:jc w:val="both"/>
              <w:rPr>
                <w:rFonts w:ascii="Book Antiqua" w:hAnsi="Book Antiqua"/>
                <w:sz w:val="20"/>
                <w:szCs w:val="20"/>
              </w:rPr>
            </w:pPr>
            <w:r w:rsidRPr="008B45A5">
              <w:rPr>
                <w:rFonts w:ascii="Book Antiqua" w:hAnsi="Book Antiqua"/>
                <w:b/>
                <w:bCs/>
                <w:sz w:val="20"/>
                <w:szCs w:val="20"/>
              </w:rPr>
              <w:lastRenderedPageBreak/>
              <w:t>Resolución RIC- 123-2020 d/f 18.9.2020</w:t>
            </w:r>
          </w:p>
        </w:tc>
        <w:tc>
          <w:tcPr>
            <w:tcW w:w="2127" w:type="dxa"/>
          </w:tcPr>
          <w:p w:rsidR="008B45A5" w:rsidRPr="008B45A5" w:rsidRDefault="008B45A5" w:rsidP="00FB5B57">
            <w:pPr>
              <w:jc w:val="both"/>
              <w:rPr>
                <w:rFonts w:ascii="Book Antiqua" w:hAnsi="Book Antiqua"/>
                <w:sz w:val="20"/>
                <w:szCs w:val="20"/>
              </w:rPr>
            </w:pPr>
            <w:r w:rsidRPr="008B45A5">
              <w:rPr>
                <w:rFonts w:ascii="Book Antiqua" w:hAnsi="Book Antiqua"/>
                <w:b/>
                <w:sz w:val="20"/>
                <w:szCs w:val="20"/>
              </w:rPr>
              <w:t>Recurso jerárquico</w:t>
            </w:r>
          </w:p>
        </w:tc>
        <w:tc>
          <w:tcPr>
            <w:tcW w:w="4110" w:type="dxa"/>
          </w:tcPr>
          <w:p w:rsidR="008B45A5" w:rsidRPr="008B45A5" w:rsidRDefault="00FB5B57" w:rsidP="00FB5B57">
            <w:pPr>
              <w:jc w:val="both"/>
              <w:rPr>
                <w:rFonts w:ascii="Book Antiqua" w:hAnsi="Book Antiqua"/>
                <w:sz w:val="20"/>
                <w:szCs w:val="20"/>
              </w:rPr>
            </w:pPr>
            <w:r w:rsidRPr="00FB5B57">
              <w:rPr>
                <w:rFonts w:ascii="Book Antiqua" w:hAnsi="Book Antiqua"/>
                <w:sz w:val="20"/>
                <w:szCs w:val="20"/>
              </w:rPr>
              <w:t>CopySolutions Internacional, S.A vs Dirección General de Aduanas /</w:t>
            </w:r>
            <w:r w:rsidR="008B45A5" w:rsidRPr="008B45A5">
              <w:rPr>
                <w:rFonts w:ascii="Book Antiqua" w:hAnsi="Book Antiqua"/>
                <w:sz w:val="20"/>
                <w:szCs w:val="20"/>
              </w:rPr>
              <w:t>Licitación Pública Nacional Núm. DGAP-LPN-3/2017 llevado a cabo para el “Servicio de outsorcing de impresoras multifuncionales para la DGA”</w:t>
            </w:r>
          </w:p>
        </w:tc>
        <w:tc>
          <w:tcPr>
            <w:tcW w:w="5492" w:type="dxa"/>
          </w:tcPr>
          <w:p w:rsidR="009D0E84" w:rsidRPr="009D0E84" w:rsidRDefault="009D0E84" w:rsidP="009D0E84">
            <w:pPr>
              <w:jc w:val="both"/>
              <w:rPr>
                <w:rFonts w:ascii="Book Antiqua" w:hAnsi="Book Antiqua"/>
                <w:b/>
                <w:iCs/>
                <w:sz w:val="20"/>
                <w:szCs w:val="20"/>
              </w:rPr>
            </w:pPr>
            <w:r w:rsidRPr="009D0E84">
              <w:rPr>
                <w:rFonts w:ascii="Book Antiqua" w:hAnsi="Book Antiqua"/>
                <w:b/>
                <w:sz w:val="20"/>
                <w:szCs w:val="20"/>
              </w:rPr>
              <w:t>ANULA</w:t>
            </w:r>
            <w:r w:rsidRPr="009D0E84">
              <w:rPr>
                <w:rFonts w:ascii="Book Antiqua" w:hAnsi="Book Antiqua"/>
                <w:sz w:val="20"/>
                <w:szCs w:val="20"/>
              </w:rPr>
              <w:t xml:space="preserve"> el procedimiento, por incumplimiento </w:t>
            </w:r>
            <w:r w:rsidRPr="009D0E84">
              <w:rPr>
                <w:rFonts w:ascii="Book Antiqua" w:hAnsi="Book Antiqua"/>
                <w:sz w:val="20"/>
                <w:szCs w:val="20"/>
                <w:lang w:val="es-ES_tradnl"/>
              </w:rPr>
              <w:t xml:space="preserve">al </w:t>
            </w:r>
            <w:r w:rsidRPr="009D0E84">
              <w:rPr>
                <w:rFonts w:ascii="Book Antiqua" w:hAnsi="Book Antiqua"/>
                <w:iCs/>
                <w:sz w:val="20"/>
                <w:szCs w:val="20"/>
                <w:lang w:val="es-ES_tradnl"/>
              </w:rPr>
              <w:t xml:space="preserve">artículo 20 de la Ley Núm. 340-06 y sus modificaciones, comprobado mediante las graves irregularidades en su pliego de condiciones, tales como la falta de </w:t>
            </w:r>
            <w:r w:rsidRPr="009D0E84">
              <w:rPr>
                <w:rFonts w:ascii="Book Antiqua" w:eastAsia="Calibri" w:hAnsi="Book Antiqua" w:cs="TimesNewRomanPSMT-Identity-H"/>
                <w:sz w:val="20"/>
                <w:szCs w:val="20"/>
              </w:rPr>
              <w:t>definición de los requerimientos técnicos que debían cumplir los oferentes, y la ausencia de cómo o mediante cuales documentos los oferentes podrían demostrar que su propuesta cumplía con lo requerido</w:t>
            </w:r>
            <w:r w:rsidRPr="009D0E84">
              <w:rPr>
                <w:rFonts w:ascii="Book Antiqua" w:hAnsi="Book Antiqua"/>
                <w:color w:val="000000" w:themeColor="text1"/>
                <w:sz w:val="20"/>
                <w:szCs w:val="20"/>
              </w:rPr>
              <w:t xml:space="preserve">, y </w:t>
            </w:r>
            <w:r w:rsidRPr="009D0E84">
              <w:rPr>
                <w:rFonts w:ascii="Book Antiqua" w:hAnsi="Book Antiqua"/>
                <w:b/>
                <w:color w:val="000000" w:themeColor="text1"/>
                <w:sz w:val="20"/>
                <w:szCs w:val="20"/>
              </w:rPr>
              <w:t xml:space="preserve">declara </w:t>
            </w:r>
            <w:r w:rsidRPr="009D0E84">
              <w:rPr>
                <w:rFonts w:ascii="Book Antiqua" w:hAnsi="Book Antiqua"/>
                <w:color w:val="000000" w:themeColor="text1"/>
                <w:sz w:val="20"/>
                <w:szCs w:val="20"/>
              </w:rPr>
              <w:t>incumplimientos en cuanto:</w:t>
            </w:r>
          </w:p>
          <w:p w:rsidR="009D0E84" w:rsidRDefault="009D0E84" w:rsidP="009D0E84">
            <w:pPr>
              <w:autoSpaceDE w:val="0"/>
              <w:autoSpaceDN w:val="0"/>
              <w:adjustRightInd w:val="0"/>
              <w:jc w:val="both"/>
              <w:rPr>
                <w:rFonts w:ascii="Book Antiqua" w:hAnsi="Book Antiqua"/>
                <w:snapToGrid w:val="0"/>
                <w:sz w:val="20"/>
                <w:szCs w:val="20"/>
              </w:rPr>
            </w:pPr>
            <w:bookmarkStart w:id="1" w:name="_Hlk47468131"/>
          </w:p>
          <w:p w:rsidR="009D0E84" w:rsidRPr="009D0E84" w:rsidRDefault="009D0E84" w:rsidP="009D0E84">
            <w:pPr>
              <w:autoSpaceDE w:val="0"/>
              <w:autoSpaceDN w:val="0"/>
              <w:adjustRightInd w:val="0"/>
              <w:jc w:val="both"/>
              <w:rPr>
                <w:rFonts w:ascii="Book Antiqua" w:hAnsi="Book Antiqua"/>
                <w:sz w:val="20"/>
                <w:szCs w:val="20"/>
              </w:rPr>
            </w:pPr>
            <w:r w:rsidRPr="009D0E84">
              <w:rPr>
                <w:rFonts w:ascii="Book Antiqua" w:hAnsi="Book Antiqua"/>
                <w:snapToGrid w:val="0"/>
                <w:sz w:val="20"/>
                <w:szCs w:val="20"/>
              </w:rPr>
              <w:t xml:space="preserve">-Artículo 3 numeral 1, que describe el </w:t>
            </w:r>
            <w:r w:rsidRPr="009D0E84">
              <w:rPr>
                <w:rFonts w:ascii="Book Antiqua" w:hAnsi="Book Antiqua"/>
                <w:i/>
                <w:snapToGrid w:val="0"/>
                <w:sz w:val="20"/>
                <w:szCs w:val="20"/>
              </w:rPr>
              <w:t xml:space="preserve">principio de eficiencia, </w:t>
            </w:r>
            <w:r w:rsidRPr="009D0E84">
              <w:rPr>
                <w:rFonts w:ascii="Book Antiqua" w:hAnsi="Book Antiqua"/>
                <w:iCs/>
                <w:snapToGrid w:val="0"/>
                <w:sz w:val="20"/>
                <w:szCs w:val="20"/>
              </w:rPr>
              <w:t>y numeral 4 sobre</w:t>
            </w:r>
            <w:r w:rsidRPr="009D0E84">
              <w:rPr>
                <w:rFonts w:ascii="Book Antiqua" w:hAnsi="Book Antiqua"/>
                <w:i/>
                <w:snapToGrid w:val="0"/>
                <w:sz w:val="20"/>
                <w:szCs w:val="20"/>
              </w:rPr>
              <w:t xml:space="preserve"> principio de economía y flexibilidad, </w:t>
            </w:r>
            <w:r w:rsidRPr="009D0E84">
              <w:rPr>
                <w:rFonts w:ascii="Book Antiqua" w:hAnsi="Book Antiqua"/>
                <w:iCs/>
                <w:snapToGrid w:val="0"/>
                <w:sz w:val="20"/>
                <w:szCs w:val="20"/>
              </w:rPr>
              <w:t>y</w:t>
            </w:r>
            <w:r w:rsidRPr="009D0E84">
              <w:rPr>
                <w:rFonts w:ascii="Book Antiqua" w:eastAsia="Calibri" w:hAnsi="Book Antiqua" w:cs="TimesNewRomanPSMT-Identity-H"/>
                <w:sz w:val="20"/>
                <w:szCs w:val="20"/>
              </w:rPr>
              <w:t xml:space="preserve">Artículo 20, todos de la Ley Núm. 340-06 y sus </w:t>
            </w:r>
            <w:r w:rsidRPr="009D0E84">
              <w:rPr>
                <w:rFonts w:ascii="Book Antiqua" w:eastAsia="Calibri" w:hAnsi="Book Antiqua" w:cs="TimesNewRomanPSMT-Identity-H"/>
                <w:sz w:val="20"/>
                <w:szCs w:val="20"/>
              </w:rPr>
              <w:lastRenderedPageBreak/>
              <w:t>modificaciones, en vista de que la DGA no definió los requerimientos técnicos que debían cumplir los oferentes, ni indicó de qué forma, o mediante que documentos los oferentes podrían demostrar que su propuesta cumplía con lo requerido;</w:t>
            </w:r>
          </w:p>
          <w:p w:rsidR="009D0E84" w:rsidRPr="009D0E84" w:rsidRDefault="009D0E84" w:rsidP="009D0E84">
            <w:pPr>
              <w:autoSpaceDE w:val="0"/>
              <w:autoSpaceDN w:val="0"/>
              <w:adjustRightInd w:val="0"/>
              <w:jc w:val="both"/>
              <w:rPr>
                <w:rFonts w:ascii="Book Antiqua" w:hAnsi="Book Antiqua"/>
                <w:sz w:val="20"/>
                <w:szCs w:val="20"/>
              </w:rPr>
            </w:pPr>
            <w:r w:rsidRPr="009D0E84">
              <w:rPr>
                <w:rFonts w:ascii="Book Antiqua" w:hAnsi="Book Antiqua" w:cs="Times New Roman"/>
                <w:sz w:val="20"/>
                <w:szCs w:val="20"/>
              </w:rPr>
              <w:t>-</w:t>
            </w:r>
            <w:r w:rsidRPr="009D0E84">
              <w:rPr>
                <w:rFonts w:ascii="Book Antiqua" w:hAnsi="Book Antiqua"/>
                <w:snapToGrid w:val="0"/>
                <w:sz w:val="20"/>
                <w:szCs w:val="20"/>
              </w:rPr>
              <w:t xml:space="preserve">Artículo 3 numeral 2, que describe el </w:t>
            </w:r>
            <w:r w:rsidRPr="009D0E84">
              <w:rPr>
                <w:rFonts w:ascii="Book Antiqua" w:hAnsi="Book Antiqua"/>
                <w:i/>
                <w:snapToGrid w:val="0"/>
                <w:sz w:val="20"/>
                <w:szCs w:val="20"/>
              </w:rPr>
              <w:t>principio de igualdad y libre competencia</w:t>
            </w:r>
            <w:r w:rsidRPr="009D0E84">
              <w:rPr>
                <w:rFonts w:ascii="Book Antiqua" w:hAnsi="Book Antiqua"/>
                <w:iCs/>
                <w:snapToGrid w:val="0"/>
                <w:sz w:val="20"/>
                <w:szCs w:val="20"/>
              </w:rPr>
              <w:t xml:space="preserve"> y numeral 4 sobre</w:t>
            </w:r>
            <w:r w:rsidRPr="009D0E84">
              <w:rPr>
                <w:rFonts w:ascii="Book Antiqua" w:hAnsi="Book Antiqua"/>
                <w:i/>
                <w:snapToGrid w:val="0"/>
                <w:sz w:val="20"/>
                <w:szCs w:val="20"/>
              </w:rPr>
              <w:t xml:space="preserve"> principio de transparencia y publicidad</w:t>
            </w:r>
            <w:r w:rsidRPr="009D0E84">
              <w:rPr>
                <w:rFonts w:ascii="Book Antiqua" w:hAnsi="Book Antiqua"/>
                <w:iCs/>
                <w:snapToGrid w:val="0"/>
                <w:sz w:val="20"/>
                <w:szCs w:val="20"/>
              </w:rPr>
              <w:t xml:space="preserve">, debido a la DGA en el </w:t>
            </w:r>
            <w:r w:rsidRPr="009D0E84">
              <w:rPr>
                <w:rFonts w:ascii="Book Antiqua" w:hAnsi="Book Antiqua"/>
                <w:snapToGrid w:val="0"/>
                <w:sz w:val="20"/>
                <w:szCs w:val="20"/>
              </w:rPr>
              <w:t>numeral 3.4, sobre “criterios de clasificación” aplicó un puntaje general para 8 ítems, reduciendo la oportunidad de que los oferentes conozcan el valor de cada subcriterio y puedan autoevaluarse objetivamente;</w:t>
            </w:r>
            <w:bookmarkEnd w:id="1"/>
          </w:p>
          <w:p w:rsidR="008B45A5" w:rsidRDefault="009D0E84" w:rsidP="009D0E84">
            <w:pPr>
              <w:autoSpaceDE w:val="0"/>
              <w:autoSpaceDN w:val="0"/>
              <w:adjustRightInd w:val="0"/>
              <w:jc w:val="both"/>
              <w:rPr>
                <w:rFonts w:ascii="Book Antiqua" w:hAnsi="Book Antiqua"/>
                <w:sz w:val="20"/>
                <w:szCs w:val="20"/>
              </w:rPr>
            </w:pPr>
            <w:r w:rsidRPr="009D0E84">
              <w:rPr>
                <w:rFonts w:ascii="Book Antiqua" w:hAnsi="Book Antiqua"/>
                <w:sz w:val="20"/>
                <w:szCs w:val="20"/>
              </w:rPr>
              <w:t>-</w:t>
            </w:r>
            <w:r w:rsidRPr="009D0E84">
              <w:rPr>
                <w:rFonts w:ascii="Book Antiqua" w:hAnsi="Book Antiqua"/>
                <w:bCs/>
                <w:sz w:val="20"/>
                <w:szCs w:val="20"/>
              </w:rPr>
              <w:t xml:space="preserve">Artículo 88 del Reglamento de Aplicación, debido a que el acto administrativo </w:t>
            </w:r>
            <w:r w:rsidRPr="009D0E84">
              <w:rPr>
                <w:rFonts w:ascii="Book Antiqua" w:hAnsi="Book Antiqua"/>
                <w:sz w:val="20"/>
                <w:szCs w:val="20"/>
              </w:rPr>
              <w:t>“Evaluación técnica”, de fecha 7 de agosto de 2017 no está firmado por los peritos designados por el Comité de Compras y Contrataciones de la DGA.</w:t>
            </w:r>
          </w:p>
          <w:p w:rsidR="009D0E84" w:rsidRDefault="009D0E84" w:rsidP="009D0E84">
            <w:pPr>
              <w:autoSpaceDE w:val="0"/>
              <w:autoSpaceDN w:val="0"/>
              <w:adjustRightInd w:val="0"/>
              <w:jc w:val="both"/>
              <w:rPr>
                <w:rFonts w:ascii="Book Antiqua" w:hAnsi="Book Antiqua"/>
                <w:sz w:val="20"/>
                <w:szCs w:val="20"/>
              </w:rPr>
            </w:pPr>
          </w:p>
          <w:p w:rsidR="009D0E84" w:rsidRPr="009D0E84" w:rsidRDefault="009D0E84" w:rsidP="009D0E84">
            <w:pPr>
              <w:autoSpaceDE w:val="0"/>
              <w:autoSpaceDN w:val="0"/>
              <w:adjustRightInd w:val="0"/>
              <w:jc w:val="both"/>
              <w:rPr>
                <w:rFonts w:ascii="Book Antiqua" w:hAnsi="Book Antiqua"/>
                <w:sz w:val="20"/>
                <w:szCs w:val="20"/>
              </w:rPr>
            </w:pPr>
            <w:r>
              <w:rPr>
                <w:rFonts w:ascii="Book Antiqua" w:hAnsi="Book Antiqua"/>
                <w:sz w:val="20"/>
                <w:szCs w:val="20"/>
              </w:rPr>
              <w:t>P</w:t>
            </w:r>
            <w:r w:rsidRPr="0032589F">
              <w:rPr>
                <w:rFonts w:ascii="Book Antiqua" w:hAnsi="Book Antiqua"/>
                <w:sz w:val="20"/>
                <w:szCs w:val="20"/>
              </w:rPr>
              <w:t xml:space="preserve">or igual, </w:t>
            </w:r>
            <w:r w:rsidRPr="000B38B1">
              <w:rPr>
                <w:rFonts w:ascii="Book Antiqua" w:hAnsi="Book Antiqua"/>
                <w:b/>
                <w:sz w:val="20"/>
                <w:szCs w:val="20"/>
              </w:rPr>
              <w:t>recomienda</w:t>
            </w:r>
            <w:r>
              <w:rPr>
                <w:rFonts w:ascii="Book Antiqua" w:hAnsi="Book Antiqua"/>
                <w:sz w:val="20"/>
                <w:szCs w:val="20"/>
              </w:rPr>
              <w:t xml:space="preserve"> participar</w:t>
            </w:r>
            <w:r w:rsidRPr="0032589F">
              <w:rPr>
                <w:rFonts w:ascii="Book Antiqua" w:hAnsi="Book Antiqua"/>
                <w:sz w:val="20"/>
                <w:szCs w:val="20"/>
              </w:rPr>
              <w:t xml:space="preserve"> en capacitaciones</w:t>
            </w:r>
            <w:r>
              <w:rPr>
                <w:rFonts w:ascii="Book Antiqua" w:hAnsi="Book Antiqua"/>
                <w:sz w:val="20"/>
                <w:szCs w:val="20"/>
              </w:rPr>
              <w:t>.</w:t>
            </w:r>
          </w:p>
        </w:tc>
      </w:tr>
    </w:tbl>
    <w:p w:rsidR="00493F40" w:rsidRPr="009D0E84" w:rsidRDefault="00493F40">
      <w:pPr>
        <w:rPr>
          <w:b/>
          <w:lang w:val="es-MX"/>
        </w:rPr>
      </w:pPr>
    </w:p>
    <w:p w:rsidR="00493F40" w:rsidRPr="009D0E84" w:rsidRDefault="009D0E84" w:rsidP="009D0E84">
      <w:pPr>
        <w:jc w:val="right"/>
        <w:rPr>
          <w:rFonts w:ascii="Book Antiqua" w:hAnsi="Book Antiqua"/>
          <w:b/>
          <w:lang w:val="es-MX"/>
        </w:rPr>
      </w:pPr>
      <w:r w:rsidRPr="009D0E84">
        <w:rPr>
          <w:rFonts w:ascii="Book Antiqua" w:hAnsi="Book Antiqua"/>
          <w:b/>
          <w:lang w:val="es-MX"/>
        </w:rPr>
        <w:t xml:space="preserve">TOTAL: </w:t>
      </w:r>
      <w:r w:rsidR="00046BA1">
        <w:rPr>
          <w:rFonts w:ascii="Book Antiqua" w:hAnsi="Book Antiqua"/>
          <w:b/>
          <w:lang w:val="es-MX"/>
        </w:rPr>
        <w:t>5</w:t>
      </w:r>
      <w:r w:rsidRPr="009D0E84">
        <w:rPr>
          <w:rFonts w:ascii="Book Antiqua" w:hAnsi="Book Antiqua"/>
          <w:b/>
          <w:lang w:val="es-MX"/>
        </w:rPr>
        <w:t>Resoluciones</w:t>
      </w:r>
    </w:p>
    <w:sectPr w:rsidR="00493F40" w:rsidRPr="009D0E84" w:rsidSect="008B45A5">
      <w:headerReference w:type="default" r:id="rId7"/>
      <w:footerReference w:type="default" r:id="rId8"/>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8BD" w:rsidRDefault="005E18BD" w:rsidP="00493F40">
      <w:pPr>
        <w:spacing w:after="0" w:line="240" w:lineRule="auto"/>
      </w:pPr>
      <w:r>
        <w:separator/>
      </w:r>
    </w:p>
  </w:endnote>
  <w:endnote w:type="continuationSeparator" w:id="1">
    <w:p w:rsidR="005E18BD" w:rsidRDefault="005E18BD" w:rsidP="00493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Quattrocento">
    <w:altName w:val="Times New Roman"/>
    <w:charset w:val="00"/>
    <w:family w:val="auto"/>
    <w:pitch w:val="default"/>
    <w:sig w:usb0="00000000" w:usb1="00000000" w:usb2="00000000" w:usb3="00000000" w:csb0="00000000" w:csb1="00000000"/>
  </w:font>
  <w:font w:name="TimesNewRomanPSMT-Identity-H">
    <w:panose1 w:val="00000000000000000000"/>
    <w:charset w:val="00"/>
    <w:family w:val="auto"/>
    <w:notTrueType/>
    <w:pitch w:val="default"/>
    <w:sig w:usb0="00000003" w:usb1="00000000" w:usb2="00000000" w:usb3="00000000" w:csb0="00000001" w:csb1="00000000"/>
  </w:font>
  <w:font w:name="Batangfalt">
    <w:altName w:val="Malgun Gothic"/>
    <w:panose1 w:val="00000000000000000000"/>
    <w:charset w:val="81"/>
    <w:family w:val="auto"/>
    <w:notTrueType/>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A5" w:rsidRPr="008B45A5" w:rsidRDefault="008B45A5" w:rsidP="008B45A5">
    <w:pPr>
      <w:pStyle w:val="Piedepgina"/>
      <w:jc w:val="right"/>
      <w:rPr>
        <w:rFonts w:ascii="Book Antiqua" w:hAnsi="Book Antiqua"/>
        <w:b/>
        <w:sz w:val="18"/>
        <w:szCs w:val="18"/>
        <w:lang w:val="es-MX"/>
      </w:rPr>
    </w:pPr>
    <w:r w:rsidRPr="008B45A5">
      <w:rPr>
        <w:rFonts w:ascii="Book Antiqua" w:hAnsi="Book Antiqua"/>
        <w:b/>
        <w:sz w:val="18"/>
        <w:szCs w:val="18"/>
        <w:lang w:val="es-MX"/>
      </w:rPr>
      <w:t>Dirección de Investigaciones y Reclamos</w:t>
    </w:r>
  </w:p>
  <w:p w:rsidR="008B45A5" w:rsidRPr="008B45A5" w:rsidRDefault="008B45A5" w:rsidP="008B45A5">
    <w:pPr>
      <w:pStyle w:val="Piedepgina"/>
      <w:jc w:val="right"/>
      <w:rPr>
        <w:rFonts w:ascii="Book Antiqua" w:hAnsi="Book Antiqua"/>
        <w:b/>
        <w:sz w:val="18"/>
      </w:rPr>
    </w:pPr>
    <w:r w:rsidRPr="008B45A5">
      <w:rPr>
        <w:rFonts w:ascii="Book Antiqua" w:hAnsi="Book Antiqua"/>
        <w:b/>
        <w:sz w:val="18"/>
        <w:lang w:val="es-MX"/>
      </w:rPr>
      <w:t>UA: 29.9.2020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8BD" w:rsidRDefault="005E18BD" w:rsidP="00493F40">
      <w:pPr>
        <w:spacing w:after="0" w:line="240" w:lineRule="auto"/>
      </w:pPr>
      <w:r>
        <w:separator/>
      </w:r>
    </w:p>
  </w:footnote>
  <w:footnote w:type="continuationSeparator" w:id="1">
    <w:p w:rsidR="005E18BD" w:rsidRDefault="005E18BD" w:rsidP="00493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A5" w:rsidRPr="008B45A5" w:rsidRDefault="00FB5B57" w:rsidP="008B45A5">
    <w:pPr>
      <w:pStyle w:val="Encabezado"/>
      <w:jc w:val="center"/>
      <w:rPr>
        <w:rFonts w:ascii="Book Antiqua" w:hAnsi="Book Antiqua"/>
        <w:b/>
        <w:sz w:val="18"/>
        <w:lang w:val="es-MX"/>
      </w:rPr>
    </w:pPr>
    <w:r>
      <w:rPr>
        <w:rFonts w:ascii="Book Antiqua" w:hAnsi="Book Antiqua"/>
        <w:b/>
        <w:sz w:val="24"/>
        <w:lang w:val="es-MX"/>
      </w:rPr>
      <w:t>“</w:t>
    </w:r>
    <w:r w:rsidR="00DB1E97" w:rsidRPr="008B45A5">
      <w:rPr>
        <w:rFonts w:ascii="Book Antiqua" w:hAnsi="Book Antiqua"/>
        <w:b/>
        <w:sz w:val="24"/>
        <w:lang w:val="es-MX"/>
      </w:rPr>
      <w:t>Listado de resoluciones</w:t>
    </w:r>
    <w:r w:rsidR="008B45A5" w:rsidRPr="008B45A5">
      <w:rPr>
        <w:rFonts w:ascii="Book Antiqua" w:hAnsi="Book Antiqua"/>
        <w:b/>
        <w:sz w:val="24"/>
        <w:lang w:val="es-MX"/>
      </w:rPr>
      <w:t xml:space="preserve"> de investigaciones y reclamos</w:t>
    </w:r>
    <w:r w:rsidR="00DB1E97" w:rsidRPr="008B45A5">
      <w:rPr>
        <w:rFonts w:ascii="Book Antiqua" w:hAnsi="Book Antiqua"/>
        <w:b/>
        <w:sz w:val="24"/>
        <w:lang w:val="es-MX"/>
      </w:rPr>
      <w:t xml:space="preserve"> con temas </w:t>
    </w:r>
    <w:r w:rsidR="00B14F4A">
      <w:rPr>
        <w:rFonts w:ascii="Book Antiqua" w:hAnsi="Book Antiqua"/>
        <w:b/>
        <w:sz w:val="24"/>
        <w:lang w:val="es-MX"/>
      </w:rPr>
      <w:t>tra</w:t>
    </w:r>
    <w:r w:rsidR="008B45A5" w:rsidRPr="008B45A5">
      <w:rPr>
        <w:rFonts w:ascii="Book Antiqua" w:hAnsi="Book Antiqua"/>
        <w:b/>
        <w:sz w:val="24"/>
        <w:lang w:val="es-MX"/>
      </w:rPr>
      <w:t>scendentales</w:t>
    </w:r>
    <w:r>
      <w:rPr>
        <w:rFonts w:ascii="Book Antiqua" w:hAnsi="Book Antiqua"/>
        <w:b/>
        <w:sz w:val="24"/>
        <w:lang w:val="es-MX"/>
      </w:rPr>
      <w:t xml:space="preserve"> de cara al público</w:t>
    </w:r>
    <w:r w:rsidR="008B45A5" w:rsidRPr="008B45A5">
      <w:rPr>
        <w:rFonts w:ascii="Book Antiqua" w:hAnsi="Book Antiqua"/>
        <w:b/>
        <w:sz w:val="24"/>
        <w:lang w:val="es-MX"/>
      </w:rPr>
      <w:t>,</w:t>
    </w:r>
    <w:r w:rsidR="00DB1E97" w:rsidRPr="008B45A5">
      <w:rPr>
        <w:rFonts w:ascii="Book Antiqua" w:hAnsi="Book Antiqua"/>
        <w:b/>
        <w:sz w:val="24"/>
        <w:lang w:val="es-MX"/>
      </w:rPr>
      <w:t xml:space="preserve"> emitidas </w:t>
    </w:r>
    <w:r w:rsidR="008B45A5" w:rsidRPr="008B45A5">
      <w:rPr>
        <w:rFonts w:ascii="Book Antiqua" w:hAnsi="Book Antiqua"/>
        <w:b/>
        <w:sz w:val="24"/>
        <w:lang w:val="es-MX"/>
      </w:rPr>
      <w:t xml:space="preserve">por la Dirección General de Contrataciones Públicas </w:t>
    </w:r>
    <w:r w:rsidR="00DB1E97" w:rsidRPr="008B45A5">
      <w:rPr>
        <w:rFonts w:ascii="Book Antiqua" w:hAnsi="Book Antiqua"/>
        <w:b/>
        <w:sz w:val="24"/>
        <w:lang w:val="es-MX"/>
      </w:rPr>
      <w:t xml:space="preserve">del </w:t>
    </w:r>
    <w:r w:rsidR="008B45A5" w:rsidRPr="008B45A5">
      <w:rPr>
        <w:rFonts w:ascii="Book Antiqua" w:hAnsi="Book Antiqua"/>
        <w:b/>
        <w:sz w:val="24"/>
        <w:lang w:val="es-MX"/>
      </w:rPr>
      <w:t xml:space="preserve">8 de septiembre de 2020 </w:t>
    </w:r>
    <w:r w:rsidR="008B45A5">
      <w:rPr>
        <w:rFonts w:ascii="Book Antiqua" w:hAnsi="Book Antiqua"/>
        <w:b/>
        <w:sz w:val="24"/>
        <w:lang w:val="es-MX"/>
      </w:rPr>
      <w:t>al 29 de septiembre de 2020</w:t>
    </w:r>
    <w:r>
      <w:rPr>
        <w:rFonts w:ascii="Book Antiqua" w:hAnsi="Book Antiqua"/>
        <w:b/>
        <w:sz w:val="24"/>
        <w:lang w:val="es-MX"/>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4370"/>
    <w:multiLevelType w:val="hybridMultilevel"/>
    <w:tmpl w:val="BB02EBB2"/>
    <w:lvl w:ilvl="0" w:tplc="CC6A87BE">
      <w:start w:val="1"/>
      <w:numFmt w:val="lowerLetter"/>
      <w:lvlText w:val="%1."/>
      <w:lvlJc w:val="left"/>
      <w:pPr>
        <w:ind w:left="360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98D14ED"/>
    <w:multiLevelType w:val="hybridMultilevel"/>
    <w:tmpl w:val="95BCD8F2"/>
    <w:lvl w:ilvl="0" w:tplc="A6DCD57C">
      <w:start w:val="1"/>
      <w:numFmt w:val="lowerRoman"/>
      <w:suff w:val="space"/>
      <w:lvlText w:val="%1)"/>
      <w:lvlJc w:val="left"/>
      <w:pPr>
        <w:ind w:left="720"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DD1535"/>
    <w:multiLevelType w:val="hybridMultilevel"/>
    <w:tmpl w:val="BB02EBB2"/>
    <w:lvl w:ilvl="0" w:tplc="CC6A87BE">
      <w:start w:val="1"/>
      <w:numFmt w:val="lowerLetter"/>
      <w:lvlText w:val="%1."/>
      <w:lvlJc w:val="left"/>
      <w:pPr>
        <w:ind w:left="360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66D1411"/>
    <w:multiLevelType w:val="hybridMultilevel"/>
    <w:tmpl w:val="278EECEA"/>
    <w:lvl w:ilvl="0" w:tplc="53902F9E">
      <w:start w:val="1"/>
      <w:numFmt w:val="lowerRoman"/>
      <w:suff w:val="space"/>
      <w:lvlText w:val="%1."/>
      <w:lvlJc w:val="righ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
    <w:nsid w:val="2873735F"/>
    <w:multiLevelType w:val="hybridMultilevel"/>
    <w:tmpl w:val="9EC21C72"/>
    <w:lvl w:ilvl="0" w:tplc="1C0A001B">
      <w:start w:val="1"/>
      <w:numFmt w:val="lowerRoman"/>
      <w:lvlText w:val="%1."/>
      <w:lvlJc w:val="right"/>
      <w:pPr>
        <w:ind w:left="36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46723CA7"/>
    <w:multiLevelType w:val="hybridMultilevel"/>
    <w:tmpl w:val="329E6162"/>
    <w:lvl w:ilvl="0" w:tplc="BD4A736C">
      <w:start w:val="1"/>
      <w:numFmt w:val="decimal"/>
      <w:suff w:val="space"/>
      <w:lvlText w:val="%1."/>
      <w:lvlJc w:val="left"/>
      <w:pPr>
        <w:ind w:left="644" w:hanging="360"/>
      </w:pPr>
      <w:rPr>
        <w:rFonts w:ascii="Book Antiqua" w:hAnsi="Book Antiqua" w:hint="default"/>
        <w:b/>
        <w:i w:val="0"/>
        <w:color w:val="auto"/>
        <w:sz w:val="22"/>
        <w:szCs w:val="22"/>
        <w:lang w:val="es-DO"/>
      </w:rPr>
    </w:lvl>
    <w:lvl w:ilvl="1" w:tplc="080A001B">
      <w:start w:val="1"/>
      <w:numFmt w:val="lowerRoman"/>
      <w:lvlText w:val="%2."/>
      <w:lvlJc w:val="right"/>
      <w:pPr>
        <w:ind w:left="1440" w:hanging="360"/>
      </w:pPr>
      <w:rPr>
        <w:b/>
      </w:rPr>
    </w:lvl>
    <w:lvl w:ilvl="2" w:tplc="73B67C4C">
      <w:start w:val="1"/>
      <w:numFmt w:val="lowerRoman"/>
      <w:lvlText w:val="%3."/>
      <w:lvlJc w:val="right"/>
      <w:pPr>
        <w:ind w:left="2160" w:hanging="180"/>
      </w:pPr>
      <w:rPr>
        <w:b/>
      </w:rPr>
    </w:lvl>
    <w:lvl w:ilvl="3" w:tplc="1C0A000F">
      <w:start w:val="1"/>
      <w:numFmt w:val="decimal"/>
      <w:lvlText w:val="%4."/>
      <w:lvlJc w:val="left"/>
      <w:pPr>
        <w:ind w:left="2880" w:hanging="360"/>
      </w:pPr>
    </w:lvl>
    <w:lvl w:ilvl="4" w:tplc="4A20241C">
      <w:start w:val="1"/>
      <w:numFmt w:val="lowerLetter"/>
      <w:lvlText w:val="%5."/>
      <w:lvlJc w:val="left"/>
      <w:pPr>
        <w:ind w:left="3600" w:hanging="360"/>
      </w:pPr>
      <w:rPr>
        <w:rFonts w:ascii="Book Antiqua" w:hAnsi="Book Antiqua" w:hint="default"/>
        <w:b/>
        <w:sz w:val="22"/>
        <w:szCs w:val="22"/>
      </w:r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6">
    <w:nsid w:val="46E73FFF"/>
    <w:multiLevelType w:val="multilevel"/>
    <w:tmpl w:val="BE2C20E0"/>
    <w:lvl w:ilvl="0">
      <w:start w:val="1"/>
      <w:numFmt w:val="decimal"/>
      <w:lvlText w:val="%1)"/>
      <w:lvlJc w:val="left"/>
      <w:pPr>
        <w:ind w:left="360" w:hanging="360"/>
      </w:pPr>
      <w:rPr>
        <w:rFonts w:hint="default"/>
      </w:rPr>
    </w:lvl>
    <w:lvl w:ilvl="1">
      <w:start w:val="1"/>
      <w:numFmt w:val="lowerRoman"/>
      <w:lvlText w:val="%2."/>
      <w:lvlJc w:val="right"/>
      <w:pPr>
        <w:ind w:left="928"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3764BDD"/>
    <w:multiLevelType w:val="hybridMultilevel"/>
    <w:tmpl w:val="95BCD8F2"/>
    <w:lvl w:ilvl="0" w:tplc="A6DCD57C">
      <w:start w:val="1"/>
      <w:numFmt w:val="lowerRoman"/>
      <w:suff w:val="space"/>
      <w:lvlText w:val="%1)"/>
      <w:lvlJc w:val="left"/>
      <w:pPr>
        <w:ind w:left="720"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
  </w:num>
  <w:num w:numId="3">
    <w:abstractNumId w:val="0"/>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493F40"/>
    <w:rsid w:val="00046BA1"/>
    <w:rsid w:val="000B38B1"/>
    <w:rsid w:val="000D737C"/>
    <w:rsid w:val="002532D5"/>
    <w:rsid w:val="00322A70"/>
    <w:rsid w:val="0032589F"/>
    <w:rsid w:val="00340697"/>
    <w:rsid w:val="00493F40"/>
    <w:rsid w:val="004B0629"/>
    <w:rsid w:val="004F4A76"/>
    <w:rsid w:val="00526CEA"/>
    <w:rsid w:val="005E18BD"/>
    <w:rsid w:val="007343E3"/>
    <w:rsid w:val="007A05A2"/>
    <w:rsid w:val="00820830"/>
    <w:rsid w:val="008A2752"/>
    <w:rsid w:val="008B45A5"/>
    <w:rsid w:val="009D0E84"/>
    <w:rsid w:val="00AC11C4"/>
    <w:rsid w:val="00B14F4A"/>
    <w:rsid w:val="00CC4392"/>
    <w:rsid w:val="00DB1E97"/>
    <w:rsid w:val="00FB5B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F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F40"/>
  </w:style>
  <w:style w:type="paragraph" w:styleId="Piedepgina">
    <w:name w:val="footer"/>
    <w:basedOn w:val="Normal"/>
    <w:link w:val="PiedepginaCar"/>
    <w:uiPriority w:val="99"/>
    <w:unhideWhenUsed/>
    <w:rsid w:val="00493F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F40"/>
  </w:style>
  <w:style w:type="table" w:styleId="Tablaconcuadrcula">
    <w:name w:val="Table Grid"/>
    <w:basedOn w:val="Tablanormal"/>
    <w:uiPriority w:val="39"/>
    <w:rsid w:val="00493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93F40"/>
    <w:pPr>
      <w:spacing w:after="0" w:line="240" w:lineRule="auto"/>
      <w:ind w:left="720"/>
      <w:contextualSpacing/>
    </w:pPr>
    <w:rPr>
      <w:rFonts w:ascii="Book Antiqua" w:hAnsi="Book Antiqua" w:cs="Times New Roman"/>
      <w:szCs w:val="24"/>
      <w:lang w:val="es-MX"/>
    </w:rPr>
  </w:style>
  <w:style w:type="paragraph" w:styleId="Sinespaciado">
    <w:name w:val="No Spacing"/>
    <w:uiPriority w:val="1"/>
    <w:qFormat/>
    <w:rsid w:val="002532D5"/>
    <w:pPr>
      <w:spacing w:after="0" w:line="240" w:lineRule="auto"/>
    </w:pPr>
    <w:rPr>
      <w:rFonts w:ascii="Calibri" w:eastAsia="Calibri" w:hAnsi="Calibri" w:cs="Calibri"/>
      <w:color w:val="000000"/>
      <w:sz w:val="24"/>
      <w:szCs w:val="24"/>
      <w:lang w:eastAsia="es-ES_tradnl"/>
    </w:rPr>
  </w:style>
  <w:style w:type="paragraph" w:customStyle="1" w:styleId="Normal5">
    <w:name w:val="Normal5"/>
    <w:rsid w:val="002532D5"/>
    <w:pPr>
      <w:spacing w:after="0" w:line="240" w:lineRule="auto"/>
    </w:pPr>
    <w:rPr>
      <w:rFonts w:ascii="Times New Roman" w:eastAsia="Times New Roman" w:hAnsi="Times New Roman" w:cs="Times New Roman"/>
      <w:color w:val="000000"/>
      <w:sz w:val="24"/>
      <w:lang w:eastAsia="es-DO"/>
    </w:rPr>
  </w:style>
  <w:style w:type="character" w:customStyle="1" w:styleId="PrrafodelistaCar">
    <w:name w:val="Párrafo de lista Car"/>
    <w:basedOn w:val="Fuentedeprrafopredeter"/>
    <w:link w:val="Prrafodelista"/>
    <w:uiPriority w:val="34"/>
    <w:rsid w:val="000B38B1"/>
    <w:rPr>
      <w:rFonts w:ascii="Book Antiqua" w:hAnsi="Book Antiqua" w:cs="Times New Roman"/>
      <w:szCs w:val="24"/>
      <w:lang w:val="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Lantigua Clase</dc:creator>
  <cp:lastModifiedBy>GUSTAVO OLIVO</cp:lastModifiedBy>
  <cp:revision>2</cp:revision>
  <dcterms:created xsi:type="dcterms:W3CDTF">2020-10-04T14:59:00Z</dcterms:created>
  <dcterms:modified xsi:type="dcterms:W3CDTF">2020-10-04T14:59:00Z</dcterms:modified>
</cp:coreProperties>
</file>